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1EEB" w14:textId="7C18C06F" w:rsidR="004215BF" w:rsidRPr="00E93504" w:rsidRDefault="004D1F42" w:rsidP="00AB5A93">
      <w:pPr>
        <w:spacing w:before="240" w:after="120"/>
        <w:jc w:val="center"/>
        <w:rPr>
          <w:rFonts w:asciiTheme="minorHAnsi" w:eastAsia="Times New Roman" w:hAnsiTheme="minorHAnsi" w:cstheme="minorHAnsi"/>
          <w:spacing w:val="-6"/>
          <w:kern w:val="24"/>
          <w:position w:val="6"/>
          <w:sz w:val="36"/>
          <w:szCs w:val="36"/>
        </w:rPr>
      </w:pPr>
      <w:r w:rsidRPr="00E93504">
        <w:rPr>
          <w:rFonts w:asciiTheme="minorHAnsi" w:eastAsia="Times New Roman" w:hAnsiTheme="minorHAnsi" w:cstheme="minorHAnsi"/>
          <w:spacing w:val="-6"/>
          <w:kern w:val="24"/>
          <w:position w:val="6"/>
          <w:sz w:val="36"/>
          <w:szCs w:val="36"/>
        </w:rPr>
        <w:t>Δελτίο Τύπου</w:t>
      </w:r>
    </w:p>
    <w:p w14:paraId="2C33121C" w14:textId="4F0B6112" w:rsidR="004215BF" w:rsidRPr="00E93504" w:rsidRDefault="004D1F42" w:rsidP="00AB5A93">
      <w:pPr>
        <w:spacing w:before="240" w:after="120"/>
        <w:jc w:val="right"/>
        <w:rPr>
          <w:rFonts w:asciiTheme="minorHAnsi" w:eastAsia="Times New Roman" w:hAnsiTheme="minorHAnsi" w:cstheme="minorHAnsi"/>
        </w:rPr>
      </w:pPr>
      <w:r w:rsidRPr="00244591">
        <w:rPr>
          <w:rFonts w:asciiTheme="minorHAnsi" w:eastAsia="Times New Roman" w:hAnsiTheme="minorHAnsi" w:cstheme="minorHAnsi"/>
        </w:rPr>
        <w:t>Αθήνα</w:t>
      </w:r>
      <w:r w:rsidR="00150F29" w:rsidRPr="00244591">
        <w:rPr>
          <w:rFonts w:asciiTheme="minorHAnsi" w:eastAsia="Times New Roman" w:hAnsiTheme="minorHAnsi" w:cstheme="minorHAnsi"/>
        </w:rPr>
        <w:t xml:space="preserve">, </w:t>
      </w:r>
      <w:r w:rsidR="00707124" w:rsidRPr="00244591">
        <w:rPr>
          <w:rFonts w:asciiTheme="minorHAnsi" w:eastAsia="Times New Roman" w:hAnsiTheme="minorHAnsi" w:cstheme="minorHAnsi"/>
        </w:rPr>
        <w:t>31</w:t>
      </w:r>
      <w:r w:rsidR="00551301" w:rsidRPr="00244591">
        <w:rPr>
          <w:rFonts w:asciiTheme="minorHAnsi" w:eastAsia="Times New Roman" w:hAnsiTheme="minorHAnsi" w:cstheme="minorHAnsi"/>
        </w:rPr>
        <w:t xml:space="preserve"> </w:t>
      </w:r>
      <w:r w:rsidR="00707124" w:rsidRPr="00244591">
        <w:rPr>
          <w:rFonts w:asciiTheme="minorHAnsi" w:eastAsia="Times New Roman" w:hAnsiTheme="minorHAnsi" w:cstheme="minorHAnsi"/>
        </w:rPr>
        <w:t>Μαΐου</w:t>
      </w:r>
      <w:r w:rsidR="00150F29" w:rsidRPr="00244591">
        <w:rPr>
          <w:rFonts w:asciiTheme="minorHAnsi" w:eastAsia="Times New Roman" w:hAnsiTheme="minorHAnsi" w:cstheme="minorHAnsi"/>
        </w:rPr>
        <w:t xml:space="preserve"> 202</w:t>
      </w:r>
      <w:r w:rsidR="00AB5A93" w:rsidRPr="00244591">
        <w:rPr>
          <w:rFonts w:asciiTheme="minorHAnsi" w:eastAsia="Times New Roman" w:hAnsiTheme="minorHAnsi" w:cstheme="minorHAnsi"/>
        </w:rPr>
        <w:t>3</w:t>
      </w:r>
    </w:p>
    <w:p w14:paraId="03E66600" w14:textId="77777777" w:rsidR="007351A1" w:rsidRPr="00E93504" w:rsidRDefault="007351A1" w:rsidP="00AB5A93">
      <w:pPr>
        <w:spacing w:after="120"/>
        <w:jc w:val="center"/>
        <w:rPr>
          <w:rFonts w:asciiTheme="minorHAnsi" w:eastAsia="Times New Roman" w:hAnsiTheme="minorHAnsi" w:cstheme="minorHAnsi"/>
          <w:b/>
          <w:bCs/>
        </w:rPr>
      </w:pPr>
    </w:p>
    <w:p w14:paraId="25C33B0E" w14:textId="3A9D747C" w:rsidR="00403377" w:rsidRPr="00E93504" w:rsidRDefault="004D1F42" w:rsidP="00AB5A93">
      <w:pPr>
        <w:spacing w:before="240" w:after="120"/>
        <w:jc w:val="center"/>
        <w:rPr>
          <w:rFonts w:asciiTheme="minorHAnsi" w:eastAsia="Times New Roman" w:hAnsiTheme="minorHAnsi" w:cstheme="minorHAnsi"/>
          <w:sz w:val="24"/>
          <w:szCs w:val="24"/>
        </w:rPr>
      </w:pPr>
      <w:r w:rsidRPr="00E93504">
        <w:rPr>
          <w:rFonts w:asciiTheme="minorHAnsi" w:eastAsia="Times New Roman" w:hAnsiTheme="minorHAnsi" w:cstheme="minorHAnsi"/>
          <w:b/>
          <w:bCs/>
          <w:sz w:val="28"/>
          <w:szCs w:val="28"/>
        </w:rPr>
        <w:t>Όμιλος ΓΕΚ ΤΕΡΝΑ</w:t>
      </w:r>
      <w:r w:rsidR="00BC2179" w:rsidRPr="00E93504">
        <w:rPr>
          <w:rFonts w:asciiTheme="minorHAnsi" w:eastAsia="Times New Roman" w:hAnsiTheme="minorHAnsi" w:cstheme="minorHAnsi"/>
          <w:b/>
          <w:bCs/>
          <w:sz w:val="28"/>
          <w:szCs w:val="28"/>
        </w:rPr>
        <w:t xml:space="preserve">: </w:t>
      </w:r>
      <w:r w:rsidR="00C83B0D">
        <w:rPr>
          <w:rFonts w:asciiTheme="minorHAnsi" w:eastAsia="Times New Roman" w:hAnsiTheme="minorHAnsi" w:cstheme="minorHAnsi"/>
          <w:b/>
          <w:bCs/>
          <w:sz w:val="28"/>
          <w:szCs w:val="28"/>
        </w:rPr>
        <w:t xml:space="preserve">Συνοπτικά </w:t>
      </w:r>
      <w:r w:rsidR="00707124">
        <w:rPr>
          <w:rFonts w:asciiTheme="minorHAnsi" w:eastAsia="Times New Roman" w:hAnsiTheme="minorHAnsi" w:cstheme="minorHAnsi"/>
          <w:b/>
          <w:bCs/>
          <w:sz w:val="28"/>
          <w:szCs w:val="28"/>
        </w:rPr>
        <w:t>Ο</w:t>
      </w:r>
      <w:r w:rsidR="00C83B0D">
        <w:rPr>
          <w:rFonts w:asciiTheme="minorHAnsi" w:eastAsia="Times New Roman" w:hAnsiTheme="minorHAnsi" w:cstheme="minorHAnsi"/>
          <w:b/>
          <w:bCs/>
          <w:sz w:val="28"/>
          <w:szCs w:val="28"/>
        </w:rPr>
        <w:t xml:space="preserve">ικονομικά </w:t>
      </w:r>
      <w:r w:rsidR="00707124">
        <w:rPr>
          <w:rFonts w:asciiTheme="minorHAnsi" w:eastAsia="Times New Roman" w:hAnsiTheme="minorHAnsi" w:cstheme="minorHAnsi"/>
          <w:b/>
          <w:bCs/>
          <w:sz w:val="28"/>
          <w:szCs w:val="28"/>
        </w:rPr>
        <w:t>Α</w:t>
      </w:r>
      <w:r w:rsidRPr="00E93504">
        <w:rPr>
          <w:rFonts w:asciiTheme="minorHAnsi" w:eastAsia="Times New Roman" w:hAnsiTheme="minorHAnsi" w:cstheme="minorHAnsi"/>
          <w:b/>
          <w:bCs/>
          <w:sz w:val="28"/>
          <w:szCs w:val="28"/>
        </w:rPr>
        <w:t xml:space="preserve">ποτελέσματα </w:t>
      </w:r>
      <w:r w:rsidR="00C83B0D">
        <w:rPr>
          <w:rFonts w:asciiTheme="minorHAnsi" w:eastAsia="Times New Roman" w:hAnsiTheme="minorHAnsi" w:cstheme="minorHAnsi"/>
          <w:b/>
          <w:bCs/>
          <w:sz w:val="28"/>
          <w:szCs w:val="28"/>
        </w:rPr>
        <w:t>Α</w:t>
      </w:r>
      <w:r w:rsidR="00707124">
        <w:rPr>
          <w:rFonts w:asciiTheme="minorHAnsi" w:eastAsia="Times New Roman" w:hAnsiTheme="minorHAnsi" w:cstheme="minorHAnsi"/>
          <w:b/>
          <w:bCs/>
          <w:sz w:val="28"/>
          <w:szCs w:val="28"/>
        </w:rPr>
        <w:t>’ Τ</w:t>
      </w:r>
      <w:r w:rsidR="00C83B0D">
        <w:rPr>
          <w:rFonts w:asciiTheme="minorHAnsi" w:eastAsia="Times New Roman" w:hAnsiTheme="minorHAnsi" w:cstheme="minorHAnsi"/>
          <w:b/>
          <w:bCs/>
          <w:sz w:val="28"/>
          <w:szCs w:val="28"/>
        </w:rPr>
        <w:t xml:space="preserve">ριμήνου </w:t>
      </w:r>
      <w:r w:rsidRPr="00E93504">
        <w:rPr>
          <w:rFonts w:asciiTheme="minorHAnsi" w:eastAsia="Times New Roman" w:hAnsiTheme="minorHAnsi" w:cstheme="minorHAnsi"/>
          <w:b/>
          <w:bCs/>
          <w:sz w:val="28"/>
          <w:szCs w:val="28"/>
        </w:rPr>
        <w:t>202</w:t>
      </w:r>
      <w:r w:rsidR="00C83B0D">
        <w:rPr>
          <w:rFonts w:asciiTheme="minorHAnsi" w:eastAsia="Times New Roman" w:hAnsiTheme="minorHAnsi" w:cstheme="minorHAnsi"/>
          <w:b/>
          <w:bCs/>
          <w:sz w:val="28"/>
          <w:szCs w:val="28"/>
        </w:rPr>
        <w:t>3</w:t>
      </w:r>
    </w:p>
    <w:p w14:paraId="72FDCE6E" w14:textId="3CE61B58" w:rsidR="00FF026E" w:rsidRDefault="00007D50" w:rsidP="00AB5A93">
      <w:pPr>
        <w:spacing w:before="240" w:after="120"/>
        <w:jc w:val="center"/>
        <w:rPr>
          <w:rFonts w:asciiTheme="minorHAnsi" w:eastAsia="Times New Roman" w:hAnsiTheme="minorHAnsi" w:cstheme="minorHAnsi"/>
          <w:i/>
          <w:iCs/>
          <w:u w:val="single"/>
        </w:rPr>
      </w:pPr>
      <w:r w:rsidRPr="00BD20FC">
        <w:rPr>
          <w:rFonts w:asciiTheme="minorHAnsi" w:eastAsia="Times New Roman" w:hAnsiTheme="minorHAnsi" w:cstheme="minorHAnsi"/>
          <w:i/>
          <w:iCs/>
          <w:u w:val="single"/>
        </w:rPr>
        <w:t>Σ</w:t>
      </w:r>
      <w:r w:rsidR="00BD20FC" w:rsidRPr="001C5287">
        <w:rPr>
          <w:rFonts w:asciiTheme="minorHAnsi" w:eastAsia="Times New Roman" w:hAnsiTheme="minorHAnsi" w:cstheme="minorHAnsi"/>
          <w:i/>
          <w:iCs/>
          <w:u w:val="single"/>
        </w:rPr>
        <w:t>υνεχιζόμενες</w:t>
      </w:r>
      <w:r w:rsidRPr="00BD20FC">
        <w:rPr>
          <w:rFonts w:asciiTheme="minorHAnsi" w:eastAsia="Times New Roman" w:hAnsiTheme="minorHAnsi" w:cstheme="minorHAnsi"/>
          <w:i/>
          <w:iCs/>
          <w:u w:val="single"/>
        </w:rPr>
        <w:t xml:space="preserve"> υψηλές επιδόσεις</w:t>
      </w:r>
      <w:r w:rsidR="00BD20FC" w:rsidRPr="001C5287">
        <w:rPr>
          <w:rFonts w:asciiTheme="minorHAnsi" w:eastAsia="Times New Roman" w:hAnsiTheme="minorHAnsi" w:cstheme="minorHAnsi"/>
          <w:i/>
          <w:iCs/>
          <w:u w:val="single"/>
        </w:rPr>
        <w:t xml:space="preserve"> και περαιτέρω ενίσχυση της ηγετικής θέσης σε όλες τις δραστηριότητες </w:t>
      </w:r>
      <w:r w:rsidRPr="00BD20FC">
        <w:rPr>
          <w:rFonts w:asciiTheme="minorHAnsi" w:eastAsia="Times New Roman" w:hAnsiTheme="minorHAnsi" w:cstheme="minorHAnsi"/>
          <w:i/>
          <w:iCs/>
          <w:u w:val="single"/>
        </w:rPr>
        <w:t xml:space="preserve"> </w:t>
      </w:r>
    </w:p>
    <w:p w14:paraId="14F80CF6" w14:textId="26A0053F" w:rsidR="00F22A35" w:rsidRPr="00A52719" w:rsidRDefault="00C83B0D" w:rsidP="00AB5A93">
      <w:pPr>
        <w:spacing w:before="240" w:after="120"/>
        <w:jc w:val="both"/>
        <w:rPr>
          <w:rFonts w:asciiTheme="minorHAnsi" w:eastAsia="Times New Roman" w:hAnsiTheme="minorHAnsi" w:cstheme="minorHAnsi"/>
          <w:b/>
          <w:bCs/>
        </w:rPr>
      </w:pPr>
      <w:r>
        <w:rPr>
          <w:rFonts w:asciiTheme="minorHAnsi" w:eastAsia="Times New Roman" w:hAnsiTheme="minorHAnsi" w:cstheme="minorHAnsi"/>
          <w:b/>
          <w:bCs/>
        </w:rPr>
        <w:t>Ο</w:t>
      </w:r>
      <w:r w:rsidR="008C360A" w:rsidRPr="008C360A">
        <w:rPr>
          <w:rFonts w:asciiTheme="minorHAnsi" w:eastAsia="Times New Roman" w:hAnsiTheme="minorHAnsi" w:cstheme="minorHAnsi"/>
          <w:b/>
          <w:bCs/>
        </w:rPr>
        <w:t xml:space="preserve"> Όμιλος ΓΕΚ ΤΕΡΝΑ</w:t>
      </w:r>
      <w:r w:rsidR="00A13132">
        <w:rPr>
          <w:rFonts w:asciiTheme="minorHAnsi" w:eastAsia="Times New Roman" w:hAnsiTheme="minorHAnsi" w:cstheme="minorHAnsi"/>
          <w:b/>
          <w:bCs/>
        </w:rPr>
        <w:t xml:space="preserve"> </w:t>
      </w:r>
      <w:r w:rsidR="00A13132" w:rsidRPr="006E5D38">
        <w:rPr>
          <w:rFonts w:asciiTheme="minorHAnsi" w:eastAsia="Times New Roman" w:hAnsiTheme="minorHAnsi" w:cstheme="minorHAnsi"/>
          <w:b/>
          <w:bCs/>
        </w:rPr>
        <w:t>(</w:t>
      </w:r>
      <w:r w:rsidR="00A13132" w:rsidRPr="006E5D38">
        <w:rPr>
          <w:rFonts w:asciiTheme="minorHAnsi" w:eastAsia="Times New Roman" w:hAnsiTheme="minorHAnsi" w:cstheme="minorHAnsi"/>
          <w:b/>
          <w:bCs/>
          <w:lang w:val="en-GB"/>
        </w:rPr>
        <w:t>Bloomberg</w:t>
      </w:r>
      <w:r w:rsidR="00A13132" w:rsidRPr="006E5D38">
        <w:rPr>
          <w:rFonts w:asciiTheme="minorHAnsi" w:eastAsia="Times New Roman" w:hAnsiTheme="minorHAnsi" w:cstheme="minorHAnsi"/>
          <w:b/>
          <w:bCs/>
        </w:rPr>
        <w:t xml:space="preserve">: </w:t>
      </w:r>
      <w:r w:rsidR="00A13132" w:rsidRPr="006E5D38">
        <w:rPr>
          <w:rFonts w:asciiTheme="minorHAnsi" w:eastAsia="Times New Roman" w:hAnsiTheme="minorHAnsi" w:cstheme="minorHAnsi"/>
          <w:b/>
          <w:bCs/>
          <w:lang w:val="en-GB"/>
        </w:rPr>
        <w:t>GEKTERNA</w:t>
      </w:r>
      <w:r w:rsidR="00A13132" w:rsidRPr="006E5D38">
        <w:rPr>
          <w:rFonts w:asciiTheme="minorHAnsi" w:eastAsia="Times New Roman" w:hAnsiTheme="minorHAnsi" w:cstheme="minorHAnsi"/>
          <w:b/>
          <w:bCs/>
        </w:rPr>
        <w:t xml:space="preserve"> </w:t>
      </w:r>
      <w:r w:rsidR="00A13132" w:rsidRPr="006E5D38">
        <w:rPr>
          <w:rFonts w:asciiTheme="minorHAnsi" w:eastAsia="Times New Roman" w:hAnsiTheme="minorHAnsi" w:cstheme="minorHAnsi"/>
          <w:b/>
          <w:bCs/>
          <w:lang w:val="en-GB"/>
        </w:rPr>
        <w:t>GA</w:t>
      </w:r>
      <w:r w:rsidR="00A13132" w:rsidRPr="006E5D38">
        <w:rPr>
          <w:rFonts w:asciiTheme="minorHAnsi" w:eastAsia="Times New Roman" w:hAnsiTheme="minorHAnsi" w:cstheme="minorHAnsi"/>
          <w:b/>
          <w:bCs/>
        </w:rPr>
        <w:t xml:space="preserve"> / </w:t>
      </w:r>
      <w:r w:rsidR="00A13132" w:rsidRPr="006E5D38">
        <w:rPr>
          <w:rFonts w:asciiTheme="minorHAnsi" w:eastAsia="Times New Roman" w:hAnsiTheme="minorHAnsi" w:cstheme="minorHAnsi"/>
          <w:b/>
          <w:bCs/>
          <w:lang w:val="en-GB"/>
        </w:rPr>
        <w:t>RIC</w:t>
      </w:r>
      <w:r w:rsidR="00A13132" w:rsidRPr="006E5D38">
        <w:rPr>
          <w:rFonts w:asciiTheme="minorHAnsi" w:eastAsia="Times New Roman" w:hAnsiTheme="minorHAnsi" w:cstheme="minorHAnsi"/>
          <w:b/>
          <w:bCs/>
        </w:rPr>
        <w:t xml:space="preserve">: </w:t>
      </w:r>
      <w:proofErr w:type="spellStart"/>
      <w:r w:rsidR="00A13132" w:rsidRPr="006E5D38">
        <w:rPr>
          <w:rFonts w:asciiTheme="minorHAnsi" w:eastAsia="Times New Roman" w:hAnsiTheme="minorHAnsi" w:cstheme="minorHAnsi"/>
          <w:b/>
          <w:bCs/>
          <w:lang w:val="en-GB"/>
        </w:rPr>
        <w:t>HRMr</w:t>
      </w:r>
      <w:proofErr w:type="spellEnd"/>
      <w:r w:rsidR="00A13132" w:rsidRPr="006E5D38">
        <w:rPr>
          <w:rFonts w:asciiTheme="minorHAnsi" w:eastAsia="Times New Roman" w:hAnsiTheme="minorHAnsi" w:cstheme="minorHAnsi"/>
          <w:b/>
          <w:bCs/>
        </w:rPr>
        <w:t>.</w:t>
      </w:r>
      <w:r w:rsidR="00A13132" w:rsidRPr="006E5D38">
        <w:rPr>
          <w:rFonts w:asciiTheme="minorHAnsi" w:eastAsia="Times New Roman" w:hAnsiTheme="minorHAnsi" w:cstheme="minorHAnsi"/>
          <w:b/>
          <w:bCs/>
          <w:lang w:val="en-GB"/>
        </w:rPr>
        <w:t>AT</w:t>
      </w:r>
      <w:r w:rsidR="00A13132" w:rsidRPr="006E5D38">
        <w:rPr>
          <w:rFonts w:asciiTheme="minorHAnsi" w:eastAsia="Times New Roman" w:hAnsiTheme="minorHAnsi" w:cstheme="minorHAnsi"/>
          <w:b/>
          <w:bCs/>
        </w:rPr>
        <w:t xml:space="preserve">) </w:t>
      </w:r>
      <w:r>
        <w:rPr>
          <w:rFonts w:asciiTheme="minorHAnsi" w:eastAsia="Times New Roman" w:hAnsiTheme="minorHAnsi" w:cstheme="minorHAnsi"/>
          <w:b/>
          <w:bCs/>
        </w:rPr>
        <w:t>ανακοινώνει τα συνοπτικά οικονομικά αποτελέσματα για το Α</w:t>
      </w:r>
      <w:r w:rsidR="00707124">
        <w:rPr>
          <w:rFonts w:asciiTheme="minorHAnsi" w:eastAsia="Times New Roman" w:hAnsiTheme="minorHAnsi" w:cstheme="minorHAnsi"/>
          <w:b/>
          <w:bCs/>
        </w:rPr>
        <w:t>’ Τ</w:t>
      </w:r>
      <w:r>
        <w:rPr>
          <w:rFonts w:asciiTheme="minorHAnsi" w:eastAsia="Times New Roman" w:hAnsiTheme="minorHAnsi" w:cstheme="minorHAnsi"/>
          <w:b/>
          <w:bCs/>
        </w:rPr>
        <w:t>ρίμηνο του 2023</w:t>
      </w:r>
      <w:r w:rsidR="00F22A35" w:rsidRPr="006E5D38">
        <w:rPr>
          <w:rFonts w:asciiTheme="minorHAnsi" w:eastAsia="Times New Roman" w:hAnsiTheme="minorHAnsi" w:cstheme="minorHAnsi"/>
          <w:b/>
          <w:bCs/>
        </w:rPr>
        <w:t xml:space="preserve">. </w:t>
      </w:r>
    </w:p>
    <w:p w14:paraId="3F796A17" w14:textId="7B42B9DF" w:rsidR="0000504B" w:rsidRPr="006E5D38" w:rsidRDefault="00F22A35" w:rsidP="00AB5A93">
      <w:pPr>
        <w:spacing w:before="240" w:after="120"/>
        <w:jc w:val="both"/>
        <w:rPr>
          <w:rFonts w:asciiTheme="minorHAnsi" w:eastAsia="Times New Roman" w:hAnsiTheme="minorHAnsi" w:cstheme="minorHAnsi"/>
          <w:b/>
          <w:bCs/>
        </w:rPr>
      </w:pPr>
      <w:r w:rsidRPr="006E5D38">
        <w:rPr>
          <w:rFonts w:asciiTheme="minorHAnsi" w:eastAsia="Times New Roman" w:hAnsiTheme="minorHAnsi" w:cstheme="minorHAnsi"/>
          <w:b/>
          <w:bCs/>
        </w:rPr>
        <w:t xml:space="preserve">Τα συνολικά έσοδα του </w:t>
      </w:r>
      <w:r w:rsidR="00707124">
        <w:rPr>
          <w:rFonts w:asciiTheme="minorHAnsi" w:eastAsia="Times New Roman" w:hAnsiTheme="minorHAnsi" w:cstheme="minorHAnsi"/>
          <w:b/>
          <w:bCs/>
        </w:rPr>
        <w:t>Ομίλου</w:t>
      </w:r>
      <w:r w:rsidRPr="006E5D38">
        <w:rPr>
          <w:rFonts w:asciiTheme="minorHAnsi" w:eastAsia="Times New Roman" w:hAnsiTheme="minorHAnsi" w:cstheme="minorHAnsi"/>
          <w:b/>
          <w:bCs/>
        </w:rPr>
        <w:t xml:space="preserve"> για το </w:t>
      </w:r>
      <w:r w:rsidR="00007D50">
        <w:rPr>
          <w:rFonts w:asciiTheme="minorHAnsi" w:eastAsia="Times New Roman" w:hAnsiTheme="minorHAnsi" w:cstheme="minorHAnsi"/>
          <w:b/>
          <w:bCs/>
        </w:rPr>
        <w:t>Α</w:t>
      </w:r>
      <w:r w:rsidR="00707124">
        <w:rPr>
          <w:rFonts w:asciiTheme="minorHAnsi" w:eastAsia="Times New Roman" w:hAnsiTheme="minorHAnsi" w:cstheme="minorHAnsi"/>
          <w:b/>
          <w:bCs/>
        </w:rPr>
        <w:t>’ Τ</w:t>
      </w:r>
      <w:r w:rsidR="00007D50">
        <w:rPr>
          <w:rFonts w:asciiTheme="minorHAnsi" w:eastAsia="Times New Roman" w:hAnsiTheme="minorHAnsi" w:cstheme="minorHAnsi"/>
          <w:b/>
          <w:bCs/>
        </w:rPr>
        <w:t xml:space="preserve">ρίμηνο του </w:t>
      </w:r>
      <w:r w:rsidRPr="006E5D38">
        <w:rPr>
          <w:rFonts w:asciiTheme="minorHAnsi" w:eastAsia="Times New Roman" w:hAnsiTheme="minorHAnsi" w:cstheme="minorHAnsi"/>
          <w:b/>
          <w:bCs/>
        </w:rPr>
        <w:t>202</w:t>
      </w:r>
      <w:r w:rsidR="00007D50">
        <w:rPr>
          <w:rFonts w:asciiTheme="minorHAnsi" w:eastAsia="Times New Roman" w:hAnsiTheme="minorHAnsi" w:cstheme="minorHAnsi"/>
          <w:b/>
          <w:bCs/>
        </w:rPr>
        <w:t>3</w:t>
      </w:r>
      <w:r w:rsidRPr="006E5D38">
        <w:rPr>
          <w:rFonts w:asciiTheme="minorHAnsi" w:eastAsia="Times New Roman" w:hAnsiTheme="minorHAnsi" w:cstheme="minorHAnsi"/>
          <w:b/>
          <w:bCs/>
        </w:rPr>
        <w:t xml:space="preserve"> </w:t>
      </w:r>
      <w:r w:rsidRPr="00345DE8">
        <w:rPr>
          <w:rFonts w:asciiTheme="minorHAnsi" w:eastAsia="Times New Roman" w:hAnsiTheme="minorHAnsi" w:cstheme="minorHAnsi"/>
          <w:b/>
          <w:bCs/>
        </w:rPr>
        <w:t xml:space="preserve">ανήλθαν σε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sidR="00007D50">
        <w:rPr>
          <w:rFonts w:asciiTheme="minorHAnsi" w:eastAsia="Times New Roman" w:hAnsiTheme="minorHAnsi" w:cstheme="minorHAnsi"/>
          <w:b/>
          <w:bCs/>
        </w:rPr>
        <w:t>8</w:t>
      </w:r>
      <w:r w:rsidR="001C5287" w:rsidRPr="001C5287">
        <w:rPr>
          <w:rFonts w:asciiTheme="minorHAnsi" w:eastAsia="Times New Roman" w:hAnsiTheme="minorHAnsi" w:cstheme="minorHAnsi"/>
          <w:b/>
          <w:bCs/>
        </w:rPr>
        <w:t>19</w:t>
      </w:r>
      <w:r w:rsidR="00007D50">
        <w:rPr>
          <w:rFonts w:asciiTheme="minorHAnsi" w:eastAsia="Times New Roman" w:hAnsiTheme="minorHAnsi" w:cstheme="minorHAnsi"/>
          <w:b/>
          <w:bCs/>
        </w:rPr>
        <w:t>,</w:t>
      </w:r>
      <w:r w:rsidR="001C5287" w:rsidRPr="001C5287">
        <w:rPr>
          <w:rFonts w:asciiTheme="minorHAnsi" w:eastAsia="Times New Roman" w:hAnsiTheme="minorHAnsi" w:cstheme="minorHAnsi"/>
          <w:b/>
          <w:bCs/>
        </w:rPr>
        <w:t>7</w:t>
      </w:r>
      <w:r w:rsidRPr="00345DE8">
        <w:rPr>
          <w:rFonts w:asciiTheme="minorHAnsi" w:eastAsia="Times New Roman" w:hAnsiTheme="minorHAnsi" w:cstheme="minorHAnsi"/>
          <w:b/>
          <w:bCs/>
        </w:rPr>
        <w:t xml:space="preserve"> εκ</w:t>
      </w:r>
      <w:r w:rsidR="003942F4" w:rsidRPr="003942F4">
        <w:rPr>
          <w:rFonts w:asciiTheme="minorHAnsi" w:eastAsia="Times New Roman" w:hAnsiTheme="minorHAnsi" w:cstheme="minorHAnsi"/>
          <w:b/>
          <w:bCs/>
        </w:rPr>
        <w:t>.</w:t>
      </w:r>
      <w:r w:rsidRPr="00345DE8">
        <w:rPr>
          <w:rFonts w:asciiTheme="minorHAnsi" w:eastAsia="Times New Roman" w:hAnsiTheme="minorHAnsi" w:cstheme="minorHAnsi"/>
          <w:b/>
          <w:bCs/>
        </w:rPr>
        <w:t xml:space="preserve"> έναντι</w:t>
      </w:r>
      <w:r w:rsidRPr="006E5D38">
        <w:rPr>
          <w:rFonts w:asciiTheme="minorHAnsi" w:eastAsia="Times New Roman" w:hAnsiTheme="minorHAnsi" w:cstheme="minorHAnsi"/>
          <w:b/>
          <w:bCs/>
        </w:rPr>
        <w:t xml:space="preserve">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sidR="00007D50">
        <w:rPr>
          <w:rFonts w:asciiTheme="minorHAnsi" w:eastAsia="Times New Roman" w:hAnsiTheme="minorHAnsi" w:cstheme="minorHAnsi"/>
          <w:b/>
          <w:bCs/>
        </w:rPr>
        <w:t>634,0</w:t>
      </w:r>
      <w:r w:rsidRPr="006E5D38">
        <w:rPr>
          <w:rFonts w:asciiTheme="minorHAnsi" w:eastAsia="Times New Roman" w:hAnsiTheme="minorHAnsi" w:cstheme="minorHAnsi"/>
          <w:b/>
          <w:bCs/>
        </w:rPr>
        <w:t xml:space="preserve"> εκ</w:t>
      </w:r>
      <w:r w:rsidR="003942F4" w:rsidRPr="003942F4">
        <w:rPr>
          <w:rFonts w:asciiTheme="minorHAnsi" w:eastAsia="Times New Roman" w:hAnsiTheme="minorHAnsi" w:cstheme="minorHAnsi"/>
          <w:b/>
          <w:bCs/>
        </w:rPr>
        <w:t>.</w:t>
      </w:r>
      <w:r w:rsidRPr="006E5D38">
        <w:rPr>
          <w:rFonts w:asciiTheme="minorHAnsi" w:eastAsia="Times New Roman" w:hAnsiTheme="minorHAnsi" w:cstheme="minorHAnsi"/>
          <w:b/>
          <w:bCs/>
        </w:rPr>
        <w:t xml:space="preserve"> το προηγούμενο έτος</w:t>
      </w:r>
      <w:r w:rsidR="00781003">
        <w:rPr>
          <w:rFonts w:asciiTheme="minorHAnsi" w:eastAsia="Times New Roman" w:hAnsiTheme="minorHAnsi" w:cstheme="minorHAnsi"/>
          <w:b/>
          <w:bCs/>
        </w:rPr>
        <w:t xml:space="preserve"> κυρίως λόγ</w:t>
      </w:r>
      <w:r w:rsidR="00707124">
        <w:rPr>
          <w:rFonts w:asciiTheme="minorHAnsi" w:eastAsia="Times New Roman" w:hAnsiTheme="minorHAnsi" w:cstheme="minorHAnsi"/>
          <w:b/>
          <w:bCs/>
        </w:rPr>
        <w:t>ω</w:t>
      </w:r>
      <w:r w:rsidR="00781003">
        <w:rPr>
          <w:rFonts w:asciiTheme="minorHAnsi" w:eastAsia="Times New Roman" w:hAnsiTheme="minorHAnsi" w:cstheme="minorHAnsi"/>
          <w:b/>
          <w:bCs/>
        </w:rPr>
        <w:t xml:space="preserve"> αυξημένων εσόδων στην κατασκευή.</w:t>
      </w:r>
      <w:r w:rsidRPr="006E5D38">
        <w:rPr>
          <w:rFonts w:asciiTheme="minorHAnsi" w:eastAsia="Times New Roman" w:hAnsiTheme="minorHAnsi" w:cstheme="minorHAnsi"/>
          <w:b/>
          <w:bCs/>
        </w:rPr>
        <w:t xml:space="preserve"> </w:t>
      </w:r>
      <w:r w:rsidR="00781003">
        <w:rPr>
          <w:rFonts w:asciiTheme="minorHAnsi" w:eastAsia="Times New Roman" w:hAnsiTheme="minorHAnsi" w:cstheme="minorHAnsi"/>
          <w:b/>
          <w:bCs/>
        </w:rPr>
        <w:t>Η</w:t>
      </w:r>
      <w:r w:rsidRPr="006E5D38">
        <w:rPr>
          <w:rFonts w:asciiTheme="minorHAnsi" w:eastAsia="Times New Roman" w:hAnsiTheme="minorHAnsi" w:cstheme="minorHAnsi"/>
          <w:b/>
          <w:bCs/>
        </w:rPr>
        <w:t xml:space="preserve"> λειτουργική κερδοφορία (προσαρμοσμένο </w:t>
      </w:r>
      <w:r w:rsidRPr="006E5D38">
        <w:rPr>
          <w:rFonts w:asciiTheme="minorHAnsi" w:eastAsia="Times New Roman" w:hAnsiTheme="minorHAnsi" w:cstheme="minorHAnsi"/>
          <w:b/>
          <w:bCs/>
          <w:lang w:val="en-GB"/>
        </w:rPr>
        <w:t>EBITDA</w:t>
      </w:r>
      <w:r w:rsidR="006E5D38">
        <w:rPr>
          <w:rStyle w:val="FootnoteReference"/>
          <w:rFonts w:asciiTheme="minorHAnsi" w:eastAsia="Times New Roman" w:hAnsiTheme="minorHAnsi" w:cstheme="minorHAnsi"/>
          <w:b/>
          <w:bCs/>
          <w:lang w:val="en-GB"/>
        </w:rPr>
        <w:footnoteReference w:id="2"/>
      </w:r>
      <w:r w:rsidRPr="006E5D38">
        <w:rPr>
          <w:rFonts w:asciiTheme="minorHAnsi" w:eastAsia="Times New Roman" w:hAnsiTheme="minorHAnsi" w:cstheme="minorHAnsi"/>
          <w:b/>
          <w:bCs/>
        </w:rPr>
        <w:t>) αυξ</w:t>
      </w:r>
      <w:r w:rsidR="00781003">
        <w:rPr>
          <w:rFonts w:asciiTheme="minorHAnsi" w:eastAsia="Times New Roman" w:hAnsiTheme="minorHAnsi" w:cstheme="minorHAnsi"/>
          <w:b/>
          <w:bCs/>
        </w:rPr>
        <w:t xml:space="preserve">ήθηκε </w:t>
      </w:r>
      <w:r w:rsidRPr="006E5D38">
        <w:rPr>
          <w:rFonts w:asciiTheme="minorHAnsi" w:eastAsia="Times New Roman" w:hAnsiTheme="minorHAnsi" w:cstheme="minorHAnsi"/>
          <w:b/>
          <w:bCs/>
        </w:rPr>
        <w:t xml:space="preserve">στα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sidR="00007D50">
        <w:rPr>
          <w:rFonts w:asciiTheme="minorHAnsi" w:eastAsia="Times New Roman" w:hAnsiTheme="minorHAnsi" w:cstheme="minorHAnsi"/>
          <w:b/>
          <w:bCs/>
        </w:rPr>
        <w:t>12</w:t>
      </w:r>
      <w:r w:rsidR="001C5287" w:rsidRPr="001C5287">
        <w:rPr>
          <w:rFonts w:asciiTheme="minorHAnsi" w:eastAsia="Times New Roman" w:hAnsiTheme="minorHAnsi" w:cstheme="minorHAnsi"/>
          <w:b/>
          <w:bCs/>
        </w:rPr>
        <w:t>3</w:t>
      </w:r>
      <w:r w:rsidR="00007D50">
        <w:rPr>
          <w:rFonts w:asciiTheme="minorHAnsi" w:eastAsia="Times New Roman" w:hAnsiTheme="minorHAnsi" w:cstheme="minorHAnsi"/>
          <w:b/>
          <w:bCs/>
        </w:rPr>
        <w:t>,</w:t>
      </w:r>
      <w:r w:rsidR="001C5287" w:rsidRPr="001C5287">
        <w:rPr>
          <w:rFonts w:asciiTheme="minorHAnsi" w:eastAsia="Times New Roman" w:hAnsiTheme="minorHAnsi" w:cstheme="minorHAnsi"/>
          <w:b/>
          <w:bCs/>
        </w:rPr>
        <w:t>6</w:t>
      </w:r>
      <w:r w:rsidRPr="006E5D38">
        <w:rPr>
          <w:rFonts w:asciiTheme="minorHAnsi" w:eastAsia="Times New Roman" w:hAnsiTheme="minorHAnsi" w:cstheme="minorHAnsi"/>
          <w:b/>
          <w:bCs/>
        </w:rPr>
        <w:t xml:space="preserve"> εκ. έναντι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sidR="00007D50">
        <w:rPr>
          <w:rFonts w:asciiTheme="minorHAnsi" w:eastAsia="Times New Roman" w:hAnsiTheme="minorHAnsi" w:cstheme="minorHAnsi"/>
          <w:b/>
          <w:bCs/>
        </w:rPr>
        <w:t>105</w:t>
      </w:r>
      <w:r w:rsidR="001C5287" w:rsidRPr="001C5287">
        <w:rPr>
          <w:rFonts w:asciiTheme="minorHAnsi" w:eastAsia="Times New Roman" w:hAnsiTheme="minorHAnsi" w:cstheme="minorHAnsi"/>
          <w:b/>
          <w:bCs/>
        </w:rPr>
        <w:t>,0</w:t>
      </w:r>
      <w:r w:rsidR="003942F4" w:rsidRPr="003942F4">
        <w:rPr>
          <w:rFonts w:asciiTheme="minorHAnsi" w:eastAsia="Times New Roman" w:hAnsiTheme="minorHAnsi" w:cstheme="minorHAnsi"/>
          <w:b/>
          <w:bCs/>
        </w:rPr>
        <w:t xml:space="preserve"> </w:t>
      </w:r>
      <w:r w:rsidRPr="006E5D38">
        <w:rPr>
          <w:rFonts w:asciiTheme="minorHAnsi" w:eastAsia="Times New Roman" w:hAnsiTheme="minorHAnsi" w:cstheme="minorHAnsi"/>
          <w:b/>
          <w:bCs/>
        </w:rPr>
        <w:t>εκ.</w:t>
      </w:r>
      <w:r w:rsidR="003942F4" w:rsidRPr="003942F4">
        <w:rPr>
          <w:rFonts w:asciiTheme="minorHAnsi" w:eastAsia="Times New Roman" w:hAnsiTheme="minorHAnsi" w:cstheme="minorHAnsi"/>
          <w:b/>
          <w:bCs/>
        </w:rPr>
        <w:t xml:space="preserve"> </w:t>
      </w:r>
      <w:r w:rsidRPr="006E5D38">
        <w:rPr>
          <w:rFonts w:asciiTheme="minorHAnsi" w:eastAsia="Times New Roman" w:hAnsiTheme="minorHAnsi" w:cstheme="minorHAnsi"/>
          <w:b/>
          <w:bCs/>
        </w:rPr>
        <w:t>για το 202</w:t>
      </w:r>
      <w:r w:rsidR="00007D50">
        <w:rPr>
          <w:rFonts w:asciiTheme="minorHAnsi" w:eastAsia="Times New Roman" w:hAnsiTheme="minorHAnsi" w:cstheme="minorHAnsi"/>
          <w:b/>
          <w:bCs/>
        </w:rPr>
        <w:t>2</w:t>
      </w:r>
      <w:r w:rsidR="00781003">
        <w:rPr>
          <w:rFonts w:asciiTheme="minorHAnsi" w:eastAsia="Times New Roman" w:hAnsiTheme="minorHAnsi" w:cstheme="minorHAnsi"/>
          <w:b/>
          <w:bCs/>
        </w:rPr>
        <w:t xml:space="preserve"> λόγ</w:t>
      </w:r>
      <w:r w:rsidR="00707124">
        <w:rPr>
          <w:rFonts w:asciiTheme="minorHAnsi" w:eastAsia="Times New Roman" w:hAnsiTheme="minorHAnsi" w:cstheme="minorHAnsi"/>
          <w:b/>
          <w:bCs/>
        </w:rPr>
        <w:t>ω</w:t>
      </w:r>
      <w:r w:rsidR="00781003">
        <w:rPr>
          <w:rFonts w:asciiTheme="minorHAnsi" w:eastAsia="Times New Roman" w:hAnsiTheme="minorHAnsi" w:cstheme="minorHAnsi"/>
          <w:b/>
          <w:bCs/>
        </w:rPr>
        <w:t xml:space="preserve"> αυξημένης κερδοφορίας σε κατασκευή και παραχωρήσεις</w:t>
      </w:r>
      <w:r w:rsidRPr="006E5D38">
        <w:rPr>
          <w:rFonts w:asciiTheme="minorHAnsi" w:eastAsia="Times New Roman" w:hAnsiTheme="minorHAnsi" w:cstheme="minorHAnsi"/>
          <w:b/>
          <w:bCs/>
        </w:rPr>
        <w:t>.</w:t>
      </w:r>
      <w:r w:rsidR="00BD20FC">
        <w:rPr>
          <w:rFonts w:asciiTheme="minorHAnsi" w:eastAsia="Times New Roman" w:hAnsiTheme="minorHAnsi" w:cstheme="minorHAnsi"/>
          <w:b/>
          <w:bCs/>
        </w:rPr>
        <w:t xml:space="preserve"> </w:t>
      </w:r>
      <w:r w:rsidR="00781003">
        <w:rPr>
          <w:rFonts w:asciiTheme="minorHAnsi" w:eastAsia="Times New Roman" w:hAnsiTheme="minorHAnsi" w:cstheme="minorHAnsi"/>
          <w:b/>
          <w:bCs/>
        </w:rPr>
        <w:t>Τ</w:t>
      </w:r>
      <w:r w:rsidRPr="006E5D38">
        <w:rPr>
          <w:rFonts w:asciiTheme="minorHAnsi" w:eastAsia="Times New Roman" w:hAnsiTheme="minorHAnsi" w:cstheme="minorHAnsi"/>
          <w:b/>
          <w:bCs/>
        </w:rPr>
        <w:t>α καθαρά κέρδη αποδιδόμενα στους μετόχους</w:t>
      </w:r>
      <w:r w:rsidR="0000504B" w:rsidRPr="006E5D38">
        <w:rPr>
          <w:rFonts w:asciiTheme="minorHAnsi" w:eastAsia="Times New Roman" w:hAnsiTheme="minorHAnsi" w:cstheme="minorHAnsi"/>
          <w:b/>
          <w:bCs/>
        </w:rPr>
        <w:t xml:space="preserve"> προσαρμοσμένα για </w:t>
      </w:r>
      <w:r w:rsidR="00123043">
        <w:rPr>
          <w:rFonts w:asciiTheme="minorHAnsi" w:eastAsia="Times New Roman" w:hAnsiTheme="minorHAnsi" w:cstheme="minorHAnsi"/>
          <w:b/>
          <w:bCs/>
        </w:rPr>
        <w:t xml:space="preserve">μη </w:t>
      </w:r>
      <w:r w:rsidR="0000504B" w:rsidRPr="006E5D38">
        <w:rPr>
          <w:rFonts w:asciiTheme="minorHAnsi" w:eastAsia="Times New Roman" w:hAnsiTheme="minorHAnsi" w:cstheme="minorHAnsi"/>
          <w:b/>
          <w:bCs/>
        </w:rPr>
        <w:t>λειτουργικά αποτελέσματα</w:t>
      </w:r>
      <w:r w:rsidR="006E5D38">
        <w:rPr>
          <w:rStyle w:val="FootnoteReference"/>
          <w:rFonts w:asciiTheme="minorHAnsi" w:eastAsia="Times New Roman" w:hAnsiTheme="minorHAnsi" w:cstheme="minorHAnsi"/>
          <w:b/>
          <w:bCs/>
        </w:rPr>
        <w:footnoteReference w:id="3"/>
      </w:r>
      <w:r w:rsidR="0000504B" w:rsidRPr="006E5D38">
        <w:rPr>
          <w:rFonts w:asciiTheme="minorHAnsi" w:eastAsia="Times New Roman" w:hAnsiTheme="minorHAnsi" w:cstheme="minorHAnsi"/>
          <w:b/>
          <w:bCs/>
          <w:i/>
          <w:iCs/>
        </w:rPr>
        <w:t xml:space="preserve"> </w:t>
      </w:r>
      <w:r w:rsidR="0000504B" w:rsidRPr="006E5D38">
        <w:rPr>
          <w:rFonts w:asciiTheme="minorHAnsi" w:eastAsia="Times New Roman" w:hAnsiTheme="minorHAnsi" w:cstheme="minorHAnsi"/>
          <w:b/>
          <w:bCs/>
        </w:rPr>
        <w:t xml:space="preserve">για το </w:t>
      </w:r>
      <w:r w:rsidR="00007D50">
        <w:rPr>
          <w:rFonts w:asciiTheme="minorHAnsi" w:eastAsia="Times New Roman" w:hAnsiTheme="minorHAnsi" w:cstheme="minorHAnsi"/>
          <w:b/>
          <w:bCs/>
        </w:rPr>
        <w:t>Α</w:t>
      </w:r>
      <w:r w:rsidR="00707124">
        <w:rPr>
          <w:rFonts w:asciiTheme="minorHAnsi" w:eastAsia="Times New Roman" w:hAnsiTheme="minorHAnsi" w:cstheme="minorHAnsi"/>
          <w:b/>
          <w:bCs/>
        </w:rPr>
        <w:t>’ Τ</w:t>
      </w:r>
      <w:r w:rsidR="00007D50">
        <w:rPr>
          <w:rFonts w:asciiTheme="minorHAnsi" w:eastAsia="Times New Roman" w:hAnsiTheme="minorHAnsi" w:cstheme="minorHAnsi"/>
          <w:b/>
          <w:bCs/>
        </w:rPr>
        <w:t xml:space="preserve">ρίμηνο του </w:t>
      </w:r>
      <w:r w:rsidR="0000504B" w:rsidRPr="006E5D38">
        <w:rPr>
          <w:rFonts w:asciiTheme="minorHAnsi" w:eastAsia="Times New Roman" w:hAnsiTheme="minorHAnsi" w:cstheme="minorHAnsi"/>
          <w:b/>
          <w:bCs/>
        </w:rPr>
        <w:t>202</w:t>
      </w:r>
      <w:r w:rsidR="00007D50">
        <w:rPr>
          <w:rFonts w:asciiTheme="minorHAnsi" w:eastAsia="Times New Roman" w:hAnsiTheme="minorHAnsi" w:cstheme="minorHAnsi"/>
          <w:b/>
          <w:bCs/>
        </w:rPr>
        <w:t>3</w:t>
      </w:r>
      <w:r w:rsidR="0000504B" w:rsidRPr="006E5D38">
        <w:rPr>
          <w:rFonts w:asciiTheme="minorHAnsi" w:eastAsia="Times New Roman" w:hAnsiTheme="minorHAnsi" w:cstheme="minorHAnsi"/>
          <w:b/>
          <w:bCs/>
        </w:rPr>
        <w:t xml:space="preserve"> ανήλθαν σε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sidR="00007D50">
        <w:rPr>
          <w:rFonts w:asciiTheme="minorHAnsi" w:eastAsia="Times New Roman" w:hAnsiTheme="minorHAnsi" w:cstheme="minorHAnsi"/>
          <w:b/>
          <w:bCs/>
        </w:rPr>
        <w:t>2</w:t>
      </w:r>
      <w:r w:rsidR="001C5287" w:rsidRPr="001C5287">
        <w:rPr>
          <w:rFonts w:asciiTheme="minorHAnsi" w:eastAsia="Times New Roman" w:hAnsiTheme="minorHAnsi" w:cstheme="minorHAnsi"/>
          <w:b/>
          <w:bCs/>
        </w:rPr>
        <w:t>3,0</w:t>
      </w:r>
      <w:r w:rsidR="0000504B" w:rsidRPr="006E5D38">
        <w:rPr>
          <w:rFonts w:asciiTheme="minorHAnsi" w:eastAsia="Times New Roman" w:hAnsiTheme="minorHAnsi" w:cstheme="minorHAnsi"/>
          <w:b/>
          <w:bCs/>
        </w:rPr>
        <w:t xml:space="preserve"> εκ. ευρώ</w:t>
      </w:r>
      <w:r w:rsidR="00A13132">
        <w:rPr>
          <w:rFonts w:asciiTheme="minorHAnsi" w:eastAsia="Times New Roman" w:hAnsiTheme="minorHAnsi" w:cstheme="minorHAnsi"/>
          <w:b/>
          <w:bCs/>
        </w:rPr>
        <w:t>,</w:t>
      </w:r>
      <w:r w:rsidR="0000504B" w:rsidRPr="006E5D38">
        <w:rPr>
          <w:rFonts w:asciiTheme="minorHAnsi" w:eastAsia="Times New Roman" w:hAnsiTheme="minorHAnsi" w:cstheme="minorHAnsi"/>
          <w:b/>
          <w:bCs/>
        </w:rPr>
        <w:t xml:space="preserve"> σημαντικά ενισχυμένα έναντι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sidR="00007D50">
        <w:rPr>
          <w:rFonts w:asciiTheme="minorHAnsi" w:eastAsia="Times New Roman" w:hAnsiTheme="minorHAnsi" w:cstheme="minorHAnsi"/>
          <w:b/>
          <w:bCs/>
        </w:rPr>
        <w:t>9,</w:t>
      </w:r>
      <w:r w:rsidR="001C5287">
        <w:rPr>
          <w:rFonts w:asciiTheme="minorHAnsi" w:eastAsia="Times New Roman" w:hAnsiTheme="minorHAnsi" w:cstheme="minorHAnsi"/>
          <w:b/>
          <w:bCs/>
        </w:rPr>
        <w:t>6</w:t>
      </w:r>
      <w:r w:rsidR="0000504B" w:rsidRPr="006E5D38">
        <w:rPr>
          <w:rFonts w:asciiTheme="minorHAnsi" w:eastAsia="Times New Roman" w:hAnsiTheme="minorHAnsi" w:cstheme="minorHAnsi"/>
          <w:b/>
          <w:bCs/>
        </w:rPr>
        <w:t xml:space="preserve"> εκ. το προηγούμενο έτος.</w:t>
      </w:r>
    </w:p>
    <w:p w14:paraId="4E69C2C3" w14:textId="11AB5D8A" w:rsidR="0013732D" w:rsidRDefault="00007D50" w:rsidP="00AB5A93">
      <w:pPr>
        <w:spacing w:before="240" w:after="120"/>
        <w:jc w:val="both"/>
        <w:rPr>
          <w:rFonts w:asciiTheme="minorHAnsi" w:eastAsia="Times New Roman" w:hAnsiTheme="minorHAnsi" w:cstheme="minorHAnsi"/>
          <w:b/>
          <w:bCs/>
        </w:rPr>
      </w:pPr>
      <w:r>
        <w:rPr>
          <w:rFonts w:asciiTheme="minorHAnsi" w:eastAsia="Times New Roman" w:hAnsiTheme="minorHAnsi" w:cstheme="minorHAnsi"/>
          <w:b/>
          <w:bCs/>
        </w:rPr>
        <w:t>Η ρευστότητα του Ομίλου παραμένει ισχυρή με τα ταμειακά διαθέσιμα και ισοδύναμα να ανέρχονται σ</w:t>
      </w:r>
      <w:r w:rsidR="00707124">
        <w:rPr>
          <w:rFonts w:asciiTheme="minorHAnsi" w:eastAsia="Times New Roman" w:hAnsiTheme="minorHAnsi" w:cstheme="minorHAnsi"/>
          <w:b/>
          <w:bCs/>
        </w:rPr>
        <w:t>ε</w:t>
      </w:r>
      <w:r w:rsidR="003942F4" w:rsidRPr="003942F4">
        <w:rPr>
          <w:rFonts w:asciiTheme="minorHAnsi" w:eastAsia="Times New Roman" w:hAnsiTheme="minorHAnsi" w:cstheme="minorHAnsi"/>
          <w:b/>
          <w:bCs/>
        </w:rPr>
        <w:t xml:space="preserve">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Pr>
          <w:rFonts w:asciiTheme="minorHAnsi" w:eastAsia="Times New Roman" w:hAnsiTheme="minorHAnsi" w:cstheme="minorHAnsi"/>
          <w:b/>
          <w:bCs/>
        </w:rPr>
        <w:t>1.55</w:t>
      </w:r>
      <w:r w:rsidR="001C5287">
        <w:rPr>
          <w:rFonts w:asciiTheme="minorHAnsi" w:eastAsia="Times New Roman" w:hAnsiTheme="minorHAnsi" w:cstheme="minorHAnsi"/>
          <w:b/>
          <w:bCs/>
        </w:rPr>
        <w:t>8</w:t>
      </w:r>
      <w:r>
        <w:rPr>
          <w:rFonts w:asciiTheme="minorHAnsi" w:eastAsia="Times New Roman" w:hAnsiTheme="minorHAnsi" w:cstheme="minorHAnsi"/>
          <w:b/>
          <w:bCs/>
        </w:rPr>
        <w:t>,</w:t>
      </w:r>
      <w:r w:rsidR="001C5287">
        <w:rPr>
          <w:rFonts w:asciiTheme="minorHAnsi" w:eastAsia="Times New Roman" w:hAnsiTheme="minorHAnsi" w:cstheme="minorHAnsi"/>
          <w:b/>
          <w:bCs/>
        </w:rPr>
        <w:t>0</w:t>
      </w:r>
      <w:r>
        <w:rPr>
          <w:rFonts w:asciiTheme="minorHAnsi" w:eastAsia="Times New Roman" w:hAnsiTheme="minorHAnsi" w:cstheme="minorHAnsi"/>
          <w:b/>
          <w:bCs/>
        </w:rPr>
        <w:t xml:space="preserve"> εκ.</w:t>
      </w:r>
      <w:r w:rsidR="003942F4" w:rsidRPr="003942F4">
        <w:rPr>
          <w:rFonts w:asciiTheme="minorHAnsi" w:eastAsia="Times New Roman" w:hAnsiTheme="minorHAnsi" w:cstheme="minorHAnsi"/>
          <w:b/>
          <w:bCs/>
        </w:rPr>
        <w:t xml:space="preserve"> </w:t>
      </w:r>
      <w:r>
        <w:rPr>
          <w:rFonts w:asciiTheme="minorHAnsi" w:eastAsia="Times New Roman" w:hAnsiTheme="minorHAnsi" w:cstheme="minorHAnsi"/>
          <w:b/>
          <w:bCs/>
        </w:rPr>
        <w:t xml:space="preserve">(έναντι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Pr>
          <w:rFonts w:asciiTheme="minorHAnsi" w:eastAsia="Times New Roman" w:hAnsiTheme="minorHAnsi" w:cstheme="minorHAnsi"/>
          <w:b/>
          <w:bCs/>
        </w:rPr>
        <w:t>1.491,7 εκ.</w:t>
      </w:r>
      <w:r w:rsidR="003942F4" w:rsidRPr="003942F4">
        <w:rPr>
          <w:rFonts w:asciiTheme="minorHAnsi" w:eastAsia="Times New Roman" w:hAnsiTheme="minorHAnsi" w:cstheme="minorHAnsi"/>
          <w:b/>
          <w:bCs/>
        </w:rPr>
        <w:t xml:space="preserve"> </w:t>
      </w:r>
      <w:r>
        <w:rPr>
          <w:rFonts w:asciiTheme="minorHAnsi" w:eastAsia="Times New Roman" w:hAnsiTheme="minorHAnsi" w:cstheme="minorHAnsi"/>
          <w:b/>
          <w:bCs/>
        </w:rPr>
        <w:t xml:space="preserve">στο τέλος του 2022) </w:t>
      </w:r>
      <w:r w:rsidR="0000504B" w:rsidRPr="006E5D38">
        <w:rPr>
          <w:rFonts w:asciiTheme="minorHAnsi" w:eastAsia="Times New Roman" w:hAnsiTheme="minorHAnsi" w:cstheme="minorHAnsi"/>
          <w:b/>
          <w:bCs/>
        </w:rPr>
        <w:t xml:space="preserve">και τον συντελεστή Καθαρό Χρέος/Προσαρμοσμένο </w:t>
      </w:r>
      <w:r w:rsidR="0000504B" w:rsidRPr="006E5D38">
        <w:rPr>
          <w:rFonts w:asciiTheme="minorHAnsi" w:eastAsia="Times New Roman" w:hAnsiTheme="minorHAnsi" w:cstheme="minorHAnsi"/>
          <w:b/>
          <w:bCs/>
          <w:lang w:val="en-US"/>
        </w:rPr>
        <w:t>EBITDA</w:t>
      </w:r>
      <w:r w:rsidR="006E5D38" w:rsidRPr="006E5D38">
        <w:rPr>
          <w:rFonts w:asciiTheme="minorHAnsi" w:eastAsia="Times New Roman" w:hAnsiTheme="minorHAnsi" w:cstheme="minorHAnsi"/>
          <w:b/>
          <w:bCs/>
          <w:vertAlign w:val="superscript"/>
        </w:rPr>
        <w:t>1</w:t>
      </w:r>
      <w:r w:rsidR="0000504B" w:rsidRPr="006E5D38">
        <w:rPr>
          <w:rFonts w:asciiTheme="minorHAnsi" w:eastAsia="Times New Roman" w:hAnsiTheme="minorHAnsi" w:cstheme="minorHAnsi"/>
          <w:b/>
          <w:bCs/>
        </w:rPr>
        <w:t xml:space="preserve"> να </w:t>
      </w:r>
      <w:r>
        <w:rPr>
          <w:rFonts w:asciiTheme="minorHAnsi" w:eastAsia="Times New Roman" w:hAnsiTheme="minorHAnsi" w:cstheme="minorHAnsi"/>
          <w:b/>
          <w:bCs/>
        </w:rPr>
        <w:t xml:space="preserve">παραμένει σταθερός στο </w:t>
      </w:r>
      <w:r w:rsidR="0000504B" w:rsidRPr="006E5D38">
        <w:rPr>
          <w:rFonts w:asciiTheme="minorHAnsi" w:eastAsia="Times New Roman" w:hAnsiTheme="minorHAnsi" w:cstheme="minorHAnsi"/>
          <w:b/>
          <w:bCs/>
        </w:rPr>
        <w:t>2.3</w:t>
      </w:r>
      <w:r w:rsidR="0000504B" w:rsidRPr="006E5D38">
        <w:rPr>
          <w:rFonts w:asciiTheme="minorHAnsi" w:eastAsia="Times New Roman" w:hAnsiTheme="minorHAnsi" w:cstheme="minorHAnsi"/>
          <w:b/>
          <w:bCs/>
          <w:lang w:val="en-GB"/>
        </w:rPr>
        <w:t>x</w:t>
      </w:r>
      <w:r w:rsidR="0000504B" w:rsidRPr="006E5D38">
        <w:rPr>
          <w:rFonts w:asciiTheme="minorHAnsi" w:eastAsia="Times New Roman" w:hAnsiTheme="minorHAnsi" w:cstheme="minorHAnsi"/>
          <w:b/>
          <w:bCs/>
        </w:rPr>
        <w:t xml:space="preserve"> </w:t>
      </w:r>
      <w:r>
        <w:rPr>
          <w:rFonts w:asciiTheme="minorHAnsi" w:eastAsia="Times New Roman" w:hAnsiTheme="minorHAnsi" w:cstheme="minorHAnsi"/>
          <w:b/>
          <w:bCs/>
        </w:rPr>
        <w:t>σε σχέση με το τέλος του προηγούμενου τριμήνου.</w:t>
      </w:r>
    </w:p>
    <w:p w14:paraId="0548579A" w14:textId="6F359581" w:rsidR="00555524" w:rsidRDefault="00555524" w:rsidP="00AB5A93">
      <w:pPr>
        <w:spacing w:before="240" w:after="120"/>
        <w:jc w:val="both"/>
        <w:rPr>
          <w:rFonts w:asciiTheme="minorHAnsi" w:eastAsia="Times New Roman" w:hAnsiTheme="minorHAnsi" w:cstheme="minorHAnsi"/>
          <w:b/>
          <w:bCs/>
        </w:rPr>
      </w:pPr>
      <w:r>
        <w:rPr>
          <w:rFonts w:asciiTheme="minorHAnsi" w:eastAsia="Times New Roman" w:hAnsiTheme="minorHAnsi" w:cstheme="minorHAnsi"/>
          <w:b/>
          <w:bCs/>
        </w:rPr>
        <w:t xml:space="preserve">Σε επιχειρησιακό επίπεδο, το κατασκευαστικό ανεκτέλεστο του Ομίλου </w:t>
      </w:r>
      <w:r w:rsidR="00E55265">
        <w:rPr>
          <w:rFonts w:asciiTheme="minorHAnsi" w:eastAsia="Times New Roman" w:hAnsiTheme="minorHAnsi" w:cstheme="minorHAnsi"/>
          <w:b/>
          <w:bCs/>
        </w:rPr>
        <w:t>ανέρχεται πλέον</w:t>
      </w:r>
      <w:r>
        <w:rPr>
          <w:rFonts w:asciiTheme="minorHAnsi" w:eastAsia="Times New Roman" w:hAnsiTheme="minorHAnsi" w:cstheme="minorHAnsi"/>
          <w:b/>
          <w:bCs/>
        </w:rPr>
        <w:t xml:space="preserve"> σε </w:t>
      </w:r>
      <w:r w:rsidR="003942F4">
        <w:rPr>
          <w:rFonts w:asciiTheme="minorHAnsi" w:eastAsia="Times New Roman" w:hAnsiTheme="minorHAnsi" w:cstheme="minorHAnsi"/>
          <w:b/>
          <w:bCs/>
        </w:rPr>
        <w:t>€</w:t>
      </w:r>
      <w:r w:rsidR="003942F4" w:rsidRPr="003942F4">
        <w:rPr>
          <w:rFonts w:asciiTheme="minorHAnsi" w:eastAsia="Times New Roman" w:hAnsiTheme="minorHAnsi" w:cstheme="minorHAnsi"/>
          <w:b/>
          <w:bCs/>
        </w:rPr>
        <w:t xml:space="preserve"> </w:t>
      </w:r>
      <w:r>
        <w:rPr>
          <w:rFonts w:asciiTheme="minorHAnsi" w:eastAsia="Times New Roman" w:hAnsiTheme="minorHAnsi" w:cstheme="minorHAnsi"/>
          <w:b/>
          <w:bCs/>
        </w:rPr>
        <w:t>5,</w:t>
      </w:r>
      <w:r w:rsidR="00E55265">
        <w:rPr>
          <w:rFonts w:asciiTheme="minorHAnsi" w:eastAsia="Times New Roman" w:hAnsiTheme="minorHAnsi" w:cstheme="minorHAnsi"/>
          <w:b/>
          <w:bCs/>
        </w:rPr>
        <w:t>5</w:t>
      </w:r>
      <w:r>
        <w:rPr>
          <w:rFonts w:asciiTheme="minorHAnsi" w:eastAsia="Times New Roman" w:hAnsiTheme="minorHAnsi" w:cstheme="minorHAnsi"/>
          <w:b/>
          <w:bCs/>
        </w:rPr>
        <w:t xml:space="preserve"> δι</w:t>
      </w:r>
      <w:r w:rsidR="00707124">
        <w:rPr>
          <w:rFonts w:asciiTheme="minorHAnsi" w:eastAsia="Times New Roman" w:hAnsiTheme="minorHAnsi" w:cstheme="minorHAnsi"/>
          <w:b/>
          <w:bCs/>
        </w:rPr>
        <w:t>σ.</w:t>
      </w:r>
      <w:r w:rsidR="00B332CF">
        <w:rPr>
          <w:rFonts w:asciiTheme="minorHAnsi" w:eastAsia="Times New Roman" w:hAnsiTheme="minorHAnsi" w:cstheme="minorHAnsi"/>
          <w:b/>
          <w:bCs/>
        </w:rPr>
        <w:t xml:space="preserve"> (</w:t>
      </w:r>
      <w:r w:rsidR="00707124">
        <w:rPr>
          <w:rFonts w:asciiTheme="minorHAnsi" w:eastAsia="Times New Roman" w:hAnsiTheme="minorHAnsi" w:cstheme="minorHAnsi"/>
          <w:b/>
          <w:bCs/>
        </w:rPr>
        <w:t>€</w:t>
      </w:r>
      <w:r w:rsidR="00BD20FC">
        <w:rPr>
          <w:rFonts w:asciiTheme="minorHAnsi" w:eastAsia="Times New Roman" w:hAnsiTheme="minorHAnsi" w:cstheme="minorHAnsi"/>
          <w:b/>
          <w:bCs/>
        </w:rPr>
        <w:t xml:space="preserve"> </w:t>
      </w:r>
      <w:r w:rsidR="00B332CF">
        <w:rPr>
          <w:rFonts w:asciiTheme="minorHAnsi" w:eastAsia="Times New Roman" w:hAnsiTheme="minorHAnsi" w:cstheme="minorHAnsi"/>
          <w:b/>
          <w:bCs/>
        </w:rPr>
        <w:t>2,8 δι</w:t>
      </w:r>
      <w:r w:rsidR="00707124">
        <w:rPr>
          <w:rFonts w:asciiTheme="minorHAnsi" w:eastAsia="Times New Roman" w:hAnsiTheme="minorHAnsi" w:cstheme="minorHAnsi"/>
          <w:b/>
          <w:bCs/>
        </w:rPr>
        <w:t>σ.</w:t>
      </w:r>
      <w:r w:rsidR="00B332CF">
        <w:rPr>
          <w:rFonts w:asciiTheme="minorHAnsi" w:eastAsia="Times New Roman" w:hAnsiTheme="minorHAnsi" w:cstheme="minorHAnsi"/>
          <w:b/>
          <w:bCs/>
        </w:rPr>
        <w:t xml:space="preserve"> υπογεγρα</w:t>
      </w:r>
      <w:r w:rsidR="00707124">
        <w:rPr>
          <w:rFonts w:asciiTheme="minorHAnsi" w:eastAsia="Times New Roman" w:hAnsiTheme="minorHAnsi" w:cstheme="minorHAnsi"/>
          <w:b/>
          <w:bCs/>
        </w:rPr>
        <w:t>μ</w:t>
      </w:r>
      <w:r w:rsidR="00B332CF">
        <w:rPr>
          <w:rFonts w:asciiTheme="minorHAnsi" w:eastAsia="Times New Roman" w:hAnsiTheme="minorHAnsi" w:cstheme="minorHAnsi"/>
          <w:b/>
          <w:bCs/>
        </w:rPr>
        <w:t xml:space="preserve">μένα και </w:t>
      </w:r>
      <w:r w:rsidR="00707124">
        <w:rPr>
          <w:rFonts w:asciiTheme="minorHAnsi" w:eastAsia="Times New Roman" w:hAnsiTheme="minorHAnsi" w:cstheme="minorHAnsi"/>
          <w:b/>
          <w:bCs/>
        </w:rPr>
        <w:t xml:space="preserve">€ </w:t>
      </w:r>
      <w:r w:rsidR="00B332CF">
        <w:rPr>
          <w:rFonts w:asciiTheme="minorHAnsi" w:eastAsia="Times New Roman" w:hAnsiTheme="minorHAnsi" w:cstheme="minorHAnsi"/>
          <w:b/>
          <w:bCs/>
        </w:rPr>
        <w:t>2,</w:t>
      </w:r>
      <w:r w:rsidR="00D451C6">
        <w:rPr>
          <w:rFonts w:asciiTheme="minorHAnsi" w:eastAsia="Times New Roman" w:hAnsiTheme="minorHAnsi" w:cstheme="minorHAnsi"/>
          <w:b/>
          <w:bCs/>
        </w:rPr>
        <w:t>7</w:t>
      </w:r>
      <w:r w:rsidR="00707124">
        <w:rPr>
          <w:rFonts w:asciiTheme="minorHAnsi" w:eastAsia="Times New Roman" w:hAnsiTheme="minorHAnsi" w:cstheme="minorHAnsi"/>
          <w:b/>
          <w:bCs/>
        </w:rPr>
        <w:t xml:space="preserve"> </w:t>
      </w:r>
      <w:r w:rsidR="00B332CF">
        <w:rPr>
          <w:rFonts w:asciiTheme="minorHAnsi" w:eastAsia="Times New Roman" w:hAnsiTheme="minorHAnsi" w:cstheme="minorHAnsi"/>
          <w:b/>
          <w:bCs/>
        </w:rPr>
        <w:t>δι</w:t>
      </w:r>
      <w:r w:rsidR="00707124">
        <w:rPr>
          <w:rFonts w:asciiTheme="minorHAnsi" w:eastAsia="Times New Roman" w:hAnsiTheme="minorHAnsi" w:cstheme="minorHAnsi"/>
          <w:b/>
          <w:bCs/>
        </w:rPr>
        <w:t>σ.</w:t>
      </w:r>
      <w:r w:rsidR="00B332CF">
        <w:rPr>
          <w:rFonts w:asciiTheme="minorHAnsi" w:eastAsia="Times New Roman" w:hAnsiTheme="minorHAnsi" w:cstheme="minorHAnsi"/>
          <w:b/>
          <w:bCs/>
        </w:rPr>
        <w:t xml:space="preserve"> προς υπογραφή)</w:t>
      </w:r>
      <w:r w:rsidR="001D41E0">
        <w:rPr>
          <w:rFonts w:asciiTheme="minorHAnsi" w:eastAsia="Times New Roman" w:hAnsiTheme="minorHAnsi" w:cstheme="minorHAnsi"/>
          <w:b/>
          <w:bCs/>
        </w:rPr>
        <w:t xml:space="preserve">, </w:t>
      </w:r>
      <w:r w:rsidR="00707124">
        <w:rPr>
          <w:rFonts w:asciiTheme="minorHAnsi" w:eastAsia="Times New Roman" w:hAnsiTheme="minorHAnsi" w:cstheme="minorHAnsi"/>
          <w:b/>
          <w:bCs/>
        </w:rPr>
        <w:t>συμ</w:t>
      </w:r>
      <w:r w:rsidR="001D41E0">
        <w:rPr>
          <w:rFonts w:asciiTheme="minorHAnsi" w:eastAsia="Times New Roman" w:hAnsiTheme="minorHAnsi" w:cstheme="minorHAnsi"/>
          <w:b/>
          <w:bCs/>
        </w:rPr>
        <w:t xml:space="preserve">περιλαμβανομένων των έργων </w:t>
      </w:r>
      <w:r w:rsidR="00707124">
        <w:rPr>
          <w:rFonts w:asciiTheme="minorHAnsi" w:eastAsia="Times New Roman" w:hAnsiTheme="minorHAnsi" w:cstheme="minorHAnsi"/>
          <w:b/>
          <w:bCs/>
        </w:rPr>
        <w:t xml:space="preserve">που αφορούν σε ίδιες επενδύσεις </w:t>
      </w:r>
      <w:r w:rsidR="00B332CF">
        <w:rPr>
          <w:rFonts w:asciiTheme="minorHAnsi" w:eastAsia="Times New Roman" w:hAnsiTheme="minorHAnsi" w:cstheme="minorHAnsi"/>
          <w:b/>
          <w:bCs/>
        </w:rPr>
        <w:t xml:space="preserve">όπως </w:t>
      </w:r>
      <w:r w:rsidR="00707124">
        <w:rPr>
          <w:rFonts w:asciiTheme="minorHAnsi" w:eastAsia="Times New Roman" w:hAnsiTheme="minorHAnsi" w:cstheme="minorHAnsi"/>
          <w:b/>
          <w:bCs/>
        </w:rPr>
        <w:t xml:space="preserve">ο Διεθνής Αερολιμένας Κρήτης στο </w:t>
      </w:r>
      <w:r w:rsidR="00B332CF">
        <w:rPr>
          <w:rFonts w:asciiTheme="minorHAnsi" w:eastAsia="Times New Roman" w:hAnsiTheme="minorHAnsi" w:cstheme="minorHAnsi"/>
          <w:b/>
          <w:bCs/>
        </w:rPr>
        <w:t>Καστέλι, η Εγνατία</w:t>
      </w:r>
      <w:r w:rsidR="00707124">
        <w:rPr>
          <w:rFonts w:asciiTheme="minorHAnsi" w:eastAsia="Times New Roman" w:hAnsiTheme="minorHAnsi" w:cstheme="minorHAnsi"/>
          <w:b/>
          <w:bCs/>
        </w:rPr>
        <w:t xml:space="preserve"> Οδός</w:t>
      </w:r>
      <w:r w:rsidR="00B332CF">
        <w:rPr>
          <w:rFonts w:asciiTheme="minorHAnsi" w:eastAsia="Times New Roman" w:hAnsiTheme="minorHAnsi" w:cstheme="minorHAnsi"/>
          <w:b/>
          <w:bCs/>
        </w:rPr>
        <w:t xml:space="preserve">, η μονάδα </w:t>
      </w:r>
      <w:r w:rsidR="00707124">
        <w:rPr>
          <w:rFonts w:asciiTheme="minorHAnsi" w:eastAsia="Times New Roman" w:hAnsiTheme="minorHAnsi" w:cstheme="minorHAnsi"/>
          <w:b/>
          <w:bCs/>
        </w:rPr>
        <w:t xml:space="preserve">ηλεκτροπαραγωγής με καύσιμο </w:t>
      </w:r>
      <w:r w:rsidR="00B332CF">
        <w:rPr>
          <w:rFonts w:asciiTheme="minorHAnsi" w:eastAsia="Times New Roman" w:hAnsiTheme="minorHAnsi" w:cstheme="minorHAnsi"/>
          <w:b/>
          <w:bCs/>
        </w:rPr>
        <w:t>φυσι</w:t>
      </w:r>
      <w:r w:rsidR="00707124">
        <w:rPr>
          <w:rFonts w:asciiTheme="minorHAnsi" w:eastAsia="Times New Roman" w:hAnsiTheme="minorHAnsi" w:cstheme="minorHAnsi"/>
          <w:b/>
          <w:bCs/>
        </w:rPr>
        <w:t>κό</w:t>
      </w:r>
      <w:r w:rsidR="00B332CF">
        <w:rPr>
          <w:rFonts w:asciiTheme="minorHAnsi" w:eastAsia="Times New Roman" w:hAnsiTheme="minorHAnsi" w:cstheme="minorHAnsi"/>
          <w:b/>
          <w:bCs/>
        </w:rPr>
        <w:t xml:space="preserve"> </w:t>
      </w:r>
      <w:r w:rsidR="00707124">
        <w:rPr>
          <w:rFonts w:asciiTheme="minorHAnsi" w:eastAsia="Times New Roman" w:hAnsiTheme="minorHAnsi" w:cstheme="minorHAnsi"/>
          <w:b/>
          <w:bCs/>
        </w:rPr>
        <w:t>αέριο</w:t>
      </w:r>
      <w:r w:rsidR="00B332CF">
        <w:rPr>
          <w:rFonts w:asciiTheme="minorHAnsi" w:eastAsia="Times New Roman" w:hAnsiTheme="minorHAnsi" w:cstheme="minorHAnsi"/>
          <w:b/>
          <w:bCs/>
        </w:rPr>
        <w:t xml:space="preserve"> στην Κομοτηνή και το </w:t>
      </w:r>
      <w:r w:rsidR="00B332CF">
        <w:rPr>
          <w:rFonts w:asciiTheme="minorHAnsi" w:eastAsia="Times New Roman" w:hAnsiTheme="minorHAnsi" w:cstheme="minorHAnsi"/>
          <w:b/>
          <w:bCs/>
          <w:lang w:val="en-GB"/>
        </w:rPr>
        <w:t>IRC</w:t>
      </w:r>
      <w:r w:rsidR="00B332CF" w:rsidRPr="001C5287">
        <w:rPr>
          <w:rFonts w:asciiTheme="minorHAnsi" w:eastAsia="Times New Roman" w:hAnsiTheme="minorHAnsi" w:cstheme="minorHAnsi"/>
          <w:b/>
          <w:bCs/>
        </w:rPr>
        <w:t xml:space="preserve"> </w:t>
      </w:r>
      <w:r w:rsidR="00B332CF">
        <w:rPr>
          <w:rFonts w:asciiTheme="minorHAnsi" w:eastAsia="Times New Roman" w:hAnsiTheme="minorHAnsi" w:cstheme="minorHAnsi"/>
          <w:b/>
          <w:bCs/>
        </w:rPr>
        <w:t>στο Ελληνικό</w:t>
      </w:r>
      <w:r>
        <w:rPr>
          <w:rFonts w:asciiTheme="minorHAnsi" w:eastAsia="Times New Roman" w:hAnsiTheme="minorHAnsi" w:cstheme="minorHAnsi"/>
          <w:b/>
          <w:bCs/>
        </w:rPr>
        <w:t xml:space="preserve">. </w:t>
      </w:r>
      <w:r w:rsidR="003E650A">
        <w:rPr>
          <w:rFonts w:asciiTheme="minorHAnsi" w:eastAsia="Times New Roman" w:hAnsiTheme="minorHAnsi" w:cstheme="minorHAnsi"/>
          <w:b/>
          <w:bCs/>
        </w:rPr>
        <w:t>Στον τομέα των παραχωρήσεων οι διελεύσεις στους αυτοκινητοδρόμους σε λειτουργία αυξήθηκαν κατά 10,2% σ</w:t>
      </w:r>
      <w:r w:rsidR="00707124">
        <w:rPr>
          <w:rFonts w:asciiTheme="minorHAnsi" w:eastAsia="Times New Roman" w:hAnsiTheme="minorHAnsi" w:cstheme="minorHAnsi"/>
          <w:b/>
          <w:bCs/>
        </w:rPr>
        <w:t>ε</w:t>
      </w:r>
      <w:r w:rsidR="003E650A">
        <w:rPr>
          <w:rFonts w:asciiTheme="minorHAnsi" w:eastAsia="Times New Roman" w:hAnsiTheme="minorHAnsi" w:cstheme="minorHAnsi"/>
          <w:b/>
          <w:bCs/>
        </w:rPr>
        <w:t xml:space="preserve"> σχέση με την περασμένη χρονιά</w:t>
      </w:r>
      <w:r w:rsidR="00707124">
        <w:rPr>
          <w:rFonts w:asciiTheme="minorHAnsi" w:eastAsia="Times New Roman" w:hAnsiTheme="minorHAnsi" w:cstheme="minorHAnsi"/>
          <w:b/>
          <w:bCs/>
        </w:rPr>
        <w:t>,</w:t>
      </w:r>
      <w:r w:rsidR="003E650A">
        <w:rPr>
          <w:rFonts w:asciiTheme="minorHAnsi" w:eastAsia="Times New Roman" w:hAnsiTheme="minorHAnsi" w:cstheme="minorHAnsi"/>
          <w:b/>
          <w:bCs/>
        </w:rPr>
        <w:t xml:space="preserve"> ενώ</w:t>
      </w:r>
      <w:r w:rsidR="00707124">
        <w:rPr>
          <w:rFonts w:asciiTheme="minorHAnsi" w:eastAsia="Times New Roman" w:hAnsiTheme="minorHAnsi" w:cstheme="minorHAnsi"/>
          <w:b/>
          <w:bCs/>
        </w:rPr>
        <w:t xml:space="preserve"> μεγάλα</w:t>
      </w:r>
      <w:r w:rsidR="003E650A">
        <w:rPr>
          <w:rFonts w:asciiTheme="minorHAnsi" w:eastAsia="Times New Roman" w:hAnsiTheme="minorHAnsi" w:cstheme="minorHAnsi"/>
          <w:b/>
          <w:bCs/>
        </w:rPr>
        <w:t xml:space="preserve"> νέα έργα βρίσκονται σε διάφορα στάδια ανάπτυξης και αναμένεται να συνεισφέρουν σημαντικά έσοδα τα επόμενα χρόνια. Τέλος</w:t>
      </w:r>
      <w:r w:rsidR="00707124">
        <w:rPr>
          <w:rFonts w:asciiTheme="minorHAnsi" w:eastAsia="Times New Roman" w:hAnsiTheme="minorHAnsi" w:cstheme="minorHAnsi"/>
          <w:b/>
          <w:bCs/>
        </w:rPr>
        <w:t>,</w:t>
      </w:r>
      <w:r w:rsidR="003E650A">
        <w:rPr>
          <w:rFonts w:asciiTheme="minorHAnsi" w:eastAsia="Times New Roman" w:hAnsiTheme="minorHAnsi" w:cstheme="minorHAnsi"/>
          <w:b/>
          <w:bCs/>
        </w:rPr>
        <w:t xml:space="preserve"> σ</w:t>
      </w:r>
      <w:r>
        <w:rPr>
          <w:rFonts w:asciiTheme="minorHAnsi" w:eastAsia="Times New Roman" w:hAnsiTheme="minorHAnsi" w:cstheme="minorHAnsi"/>
          <w:b/>
          <w:bCs/>
        </w:rPr>
        <w:t xml:space="preserve">τον τομέα </w:t>
      </w:r>
      <w:r w:rsidR="00507AC5" w:rsidRPr="00507AC5">
        <w:rPr>
          <w:rFonts w:asciiTheme="minorHAnsi" w:eastAsia="Times New Roman" w:hAnsiTheme="minorHAnsi" w:cstheme="minorHAnsi"/>
          <w:b/>
          <w:bCs/>
        </w:rPr>
        <w:t>παραγωγής και εμπορίας ενέργειας (ηλεκτρισμού και φυσικού αερίου) στην Ελλάδα και το εξωτερικό</w:t>
      </w:r>
      <w:r w:rsidR="00707124">
        <w:rPr>
          <w:rFonts w:asciiTheme="minorHAnsi" w:eastAsia="Times New Roman" w:hAnsiTheme="minorHAnsi" w:cstheme="minorHAnsi"/>
          <w:b/>
          <w:bCs/>
        </w:rPr>
        <w:t>,</w:t>
      </w:r>
      <w:r w:rsidR="00507AC5" w:rsidRPr="00507AC5">
        <w:rPr>
          <w:rFonts w:asciiTheme="minorHAnsi" w:eastAsia="Times New Roman" w:hAnsiTheme="minorHAnsi" w:cstheme="minorHAnsi"/>
          <w:b/>
          <w:bCs/>
        </w:rPr>
        <w:t xml:space="preserve"> </w:t>
      </w:r>
      <w:r>
        <w:rPr>
          <w:rFonts w:asciiTheme="minorHAnsi" w:eastAsia="Times New Roman" w:hAnsiTheme="minorHAnsi" w:cstheme="minorHAnsi"/>
          <w:b/>
          <w:bCs/>
        </w:rPr>
        <w:t xml:space="preserve">η εγκατεστημένη ισχύς </w:t>
      </w:r>
      <w:r w:rsidR="00507AC5">
        <w:rPr>
          <w:rFonts w:asciiTheme="minorHAnsi" w:eastAsia="Times New Roman" w:hAnsiTheme="minorHAnsi" w:cstheme="minorHAnsi"/>
          <w:b/>
          <w:bCs/>
        </w:rPr>
        <w:t xml:space="preserve">ΑΠΕ </w:t>
      </w:r>
      <w:r>
        <w:rPr>
          <w:rFonts w:asciiTheme="minorHAnsi" w:eastAsia="Times New Roman" w:hAnsiTheme="minorHAnsi" w:cstheme="minorHAnsi"/>
          <w:b/>
          <w:bCs/>
        </w:rPr>
        <w:t xml:space="preserve">αυξήθηκε από την αρχή του χρόνου κατά 235 </w:t>
      </w:r>
      <w:r>
        <w:rPr>
          <w:rFonts w:asciiTheme="minorHAnsi" w:eastAsia="Times New Roman" w:hAnsiTheme="minorHAnsi" w:cstheme="minorHAnsi"/>
          <w:b/>
          <w:bCs/>
          <w:lang w:val="en-GB"/>
        </w:rPr>
        <w:t>MW</w:t>
      </w:r>
      <w:r w:rsidRPr="00555524">
        <w:rPr>
          <w:rFonts w:asciiTheme="minorHAnsi" w:eastAsia="Times New Roman" w:hAnsiTheme="minorHAnsi" w:cstheme="minorHAnsi"/>
          <w:b/>
          <w:bCs/>
        </w:rPr>
        <w:t xml:space="preserve"> </w:t>
      </w:r>
      <w:r>
        <w:rPr>
          <w:rFonts w:asciiTheme="minorHAnsi" w:eastAsia="Times New Roman" w:hAnsiTheme="minorHAnsi" w:cstheme="minorHAnsi"/>
          <w:b/>
          <w:bCs/>
        </w:rPr>
        <w:t>και ανέρχεται</w:t>
      </w:r>
      <w:r w:rsidRPr="00555524">
        <w:rPr>
          <w:rFonts w:asciiTheme="minorHAnsi" w:eastAsia="Times New Roman" w:hAnsiTheme="minorHAnsi" w:cstheme="minorHAnsi"/>
          <w:b/>
          <w:bCs/>
        </w:rPr>
        <w:t xml:space="preserve"> </w:t>
      </w:r>
      <w:r>
        <w:rPr>
          <w:rFonts w:asciiTheme="minorHAnsi" w:eastAsia="Times New Roman" w:hAnsiTheme="minorHAnsi" w:cstheme="minorHAnsi"/>
          <w:b/>
          <w:bCs/>
        </w:rPr>
        <w:t>πλέον σε 1.141</w:t>
      </w:r>
      <w:r w:rsidR="00707124">
        <w:rPr>
          <w:rFonts w:asciiTheme="minorHAnsi" w:eastAsia="Times New Roman" w:hAnsiTheme="minorHAnsi" w:cstheme="minorHAnsi"/>
          <w:b/>
          <w:bCs/>
        </w:rPr>
        <w:t xml:space="preserve"> </w:t>
      </w:r>
      <w:r>
        <w:rPr>
          <w:rFonts w:asciiTheme="minorHAnsi" w:eastAsia="Times New Roman" w:hAnsiTheme="minorHAnsi" w:cstheme="minorHAnsi"/>
          <w:b/>
          <w:bCs/>
          <w:lang w:val="en-GB"/>
        </w:rPr>
        <w:t>MW</w:t>
      </w:r>
      <w:r w:rsidRPr="00555524">
        <w:rPr>
          <w:rFonts w:asciiTheme="minorHAnsi" w:eastAsia="Times New Roman" w:hAnsiTheme="minorHAnsi" w:cstheme="minorHAnsi"/>
          <w:b/>
          <w:bCs/>
        </w:rPr>
        <w:t xml:space="preserve"> </w:t>
      </w:r>
      <w:r>
        <w:rPr>
          <w:rFonts w:asciiTheme="minorHAnsi" w:eastAsia="Times New Roman" w:hAnsiTheme="minorHAnsi" w:cstheme="minorHAnsi"/>
          <w:b/>
          <w:bCs/>
        </w:rPr>
        <w:t xml:space="preserve">σε συνέχεια της σταδιακής ολοκλήρωσης του νέου συμπλέγματος αιολικών πάρκων στην Εύβοια. </w:t>
      </w:r>
    </w:p>
    <w:p w14:paraId="474CC743" w14:textId="08E7F542" w:rsidR="00843C4D" w:rsidRPr="00D451C6" w:rsidRDefault="002E52E0" w:rsidP="00843C4D">
      <w:pPr>
        <w:spacing w:before="240" w:after="120"/>
        <w:jc w:val="both"/>
        <w:rPr>
          <w:rFonts w:asciiTheme="minorHAnsi" w:eastAsia="Times New Roman" w:hAnsiTheme="minorHAnsi" w:cstheme="minorHAnsi"/>
          <w:b/>
          <w:bCs/>
        </w:rPr>
      </w:pPr>
      <w:r w:rsidRPr="00D451C6">
        <w:rPr>
          <w:b/>
          <w:bCs/>
        </w:rPr>
        <w:t>Ο Όμιλος ΓΕΚ ΤΕΡΝΑ προσβλέπει σε περαιτέρω θετικά αποτελέσματα για τις επόμενες περιόδους</w:t>
      </w:r>
      <w:r w:rsidR="00707124" w:rsidRPr="00D451C6">
        <w:rPr>
          <w:b/>
          <w:bCs/>
        </w:rPr>
        <w:t>,</w:t>
      </w:r>
      <w:r w:rsidRPr="00D451C6">
        <w:rPr>
          <w:b/>
          <w:bCs/>
        </w:rPr>
        <w:t xml:space="preserve"> </w:t>
      </w:r>
      <w:r w:rsidR="00843C4D" w:rsidRPr="00D451C6">
        <w:rPr>
          <w:b/>
          <w:bCs/>
        </w:rPr>
        <w:t>καθώς</w:t>
      </w:r>
      <w:r w:rsidRPr="00D451C6">
        <w:rPr>
          <w:b/>
          <w:bCs/>
        </w:rPr>
        <w:t xml:space="preserve"> ένας σημαντικός αριθμός έργων και επενδύσεων που βρίσκονται αυτή την στιγμή </w:t>
      </w:r>
      <w:r w:rsidR="00707124" w:rsidRPr="00D451C6">
        <w:rPr>
          <w:b/>
          <w:bCs/>
        </w:rPr>
        <w:t xml:space="preserve">προς </w:t>
      </w:r>
      <w:r w:rsidRPr="00D451C6">
        <w:rPr>
          <w:b/>
          <w:bCs/>
        </w:rPr>
        <w:t xml:space="preserve">υλοποίηση αναμένεται να ωριμάσει και να ενισχύσει σημαντικά τα έσοδα και την κερδοφορία σε μακροπρόθεσμο </w:t>
      </w:r>
      <w:r w:rsidRPr="00D451C6">
        <w:rPr>
          <w:b/>
          <w:bCs/>
        </w:rPr>
        <w:lastRenderedPageBreak/>
        <w:t xml:space="preserve">ορίζοντα. </w:t>
      </w:r>
      <w:r w:rsidR="00707124" w:rsidRPr="00D451C6">
        <w:rPr>
          <w:b/>
          <w:bCs/>
        </w:rPr>
        <w:t>Επιπλέον,</w:t>
      </w:r>
      <w:r w:rsidR="00843C4D" w:rsidRPr="00D451C6">
        <w:rPr>
          <w:b/>
          <w:bCs/>
        </w:rPr>
        <w:t xml:space="preserve"> </w:t>
      </w:r>
      <w:r w:rsidR="00707124" w:rsidRPr="00D451C6">
        <w:rPr>
          <w:rFonts w:asciiTheme="minorHAnsi" w:eastAsia="Times New Roman" w:hAnsiTheme="minorHAnsi" w:cstheme="minorHAnsi"/>
          <w:b/>
          <w:bCs/>
        </w:rPr>
        <w:t>αξιοποιώντας</w:t>
      </w:r>
      <w:r w:rsidR="00843C4D" w:rsidRPr="00D451C6">
        <w:rPr>
          <w:rFonts w:asciiTheme="minorHAnsi" w:eastAsia="Times New Roman" w:hAnsiTheme="minorHAnsi" w:cstheme="minorHAnsi"/>
          <w:b/>
          <w:bCs/>
        </w:rPr>
        <w:t xml:space="preserve"> την ηγετική του θέση στην αγορά και την </w:t>
      </w:r>
      <w:r w:rsidR="00707124" w:rsidRPr="00D451C6">
        <w:rPr>
          <w:rFonts w:asciiTheme="minorHAnsi" w:eastAsia="Times New Roman" w:hAnsiTheme="minorHAnsi" w:cstheme="minorHAnsi"/>
          <w:b/>
          <w:bCs/>
        </w:rPr>
        <w:t>οικονομική του ευρωστία,</w:t>
      </w:r>
      <w:r w:rsidR="00843C4D" w:rsidRPr="00D451C6">
        <w:rPr>
          <w:rFonts w:asciiTheme="minorHAnsi" w:eastAsia="Times New Roman" w:hAnsiTheme="minorHAnsi" w:cstheme="minorHAnsi"/>
          <w:b/>
          <w:bCs/>
        </w:rPr>
        <w:t xml:space="preserve"> αλλά και τα πλεονεκτήματα της καθετοποιημένης οργάνωσ</w:t>
      </w:r>
      <w:r w:rsidR="00707124" w:rsidRPr="00D451C6">
        <w:rPr>
          <w:rFonts w:asciiTheme="minorHAnsi" w:eastAsia="Times New Roman" w:hAnsiTheme="minorHAnsi" w:cstheme="minorHAnsi"/>
          <w:b/>
          <w:bCs/>
        </w:rPr>
        <w:t>ή</w:t>
      </w:r>
      <w:r w:rsidR="00843C4D" w:rsidRPr="00D451C6">
        <w:rPr>
          <w:rFonts w:asciiTheme="minorHAnsi" w:eastAsia="Times New Roman" w:hAnsiTheme="minorHAnsi" w:cstheme="minorHAnsi"/>
          <w:b/>
          <w:bCs/>
        </w:rPr>
        <w:t>ς του και των συνεργειών που αυτή προσφέρει</w:t>
      </w:r>
      <w:r w:rsidR="00707124" w:rsidRPr="00D451C6">
        <w:rPr>
          <w:rFonts w:asciiTheme="minorHAnsi" w:eastAsia="Times New Roman" w:hAnsiTheme="minorHAnsi" w:cstheme="minorHAnsi"/>
          <w:b/>
          <w:bCs/>
        </w:rPr>
        <w:t>, ο Όμιλος</w:t>
      </w:r>
      <w:r w:rsidR="00843C4D" w:rsidRPr="00D451C6">
        <w:rPr>
          <w:rFonts w:asciiTheme="minorHAnsi" w:eastAsia="Times New Roman" w:hAnsiTheme="minorHAnsi" w:cstheme="minorHAnsi"/>
          <w:b/>
          <w:bCs/>
        </w:rPr>
        <w:t xml:space="preserve"> συνεχίζει να παρακολουθεί στενά την αγορά για νέες ευκαιρίες δεδομένου του σημαντικού αριθμού έργων και επενδύσεων που αναμένονται τα επόμενα χρόνια.     </w:t>
      </w:r>
    </w:p>
    <w:p w14:paraId="46D03560" w14:textId="01AA827E" w:rsidR="00150F29" w:rsidRPr="00F22A35" w:rsidRDefault="00843C4D" w:rsidP="002E343A">
      <w:pPr>
        <w:spacing w:before="240" w:after="120"/>
        <w:jc w:val="both"/>
        <w:rPr>
          <w:rFonts w:asciiTheme="minorHAnsi" w:hAnsiTheme="minorHAnsi" w:cstheme="minorHAnsi"/>
          <w:b/>
          <w:bCs/>
        </w:rPr>
      </w:pPr>
      <w:r>
        <w:t xml:space="preserve">  </w:t>
      </w:r>
      <w:r w:rsidR="00F40E72" w:rsidRPr="00F22A35">
        <w:rPr>
          <w:rFonts w:asciiTheme="minorHAnsi" w:eastAsia="Times New Roman" w:hAnsiTheme="minorHAnsi" w:cstheme="minorHAnsi"/>
          <w:b/>
          <w:bCs/>
        </w:rPr>
        <w:t>Βασικά χρηματοοικονομικά μεγέθη</w:t>
      </w:r>
    </w:p>
    <w:tbl>
      <w:tblPr>
        <w:tblW w:w="9648" w:type="dxa"/>
        <w:tblLook w:val="04A0" w:firstRow="1" w:lastRow="0" w:firstColumn="1" w:lastColumn="0" w:noHBand="0" w:noVBand="1"/>
      </w:tblPr>
      <w:tblGrid>
        <w:gridCol w:w="5668"/>
        <w:gridCol w:w="1990"/>
        <w:gridCol w:w="1990"/>
      </w:tblGrid>
      <w:tr w:rsidR="00E93504" w:rsidRPr="00F22A35" w14:paraId="3D1F90D9" w14:textId="3B815A78" w:rsidTr="00AE31D2">
        <w:trPr>
          <w:trHeight w:val="346"/>
        </w:trPr>
        <w:tc>
          <w:tcPr>
            <w:tcW w:w="5668" w:type="dxa"/>
            <w:tcBorders>
              <w:top w:val="single" w:sz="4" w:space="0" w:color="00B0F0"/>
              <w:left w:val="nil"/>
              <w:bottom w:val="single" w:sz="4" w:space="0" w:color="00B0F0"/>
              <w:right w:val="nil"/>
            </w:tcBorders>
            <w:shd w:val="clear" w:color="auto" w:fill="auto"/>
            <w:noWrap/>
            <w:vAlign w:val="center"/>
            <w:hideMark/>
          </w:tcPr>
          <w:p w14:paraId="09CBF5D3" w14:textId="0839DF82" w:rsidR="00AE31D2" w:rsidRPr="00F22A35" w:rsidRDefault="00AE31D2" w:rsidP="00AB5A93">
            <w:pPr>
              <w:spacing w:after="0"/>
              <w:rPr>
                <w:rFonts w:asciiTheme="minorHAnsi" w:eastAsia="Times New Roman" w:hAnsiTheme="minorHAnsi" w:cstheme="minorHAnsi"/>
                <w:b/>
                <w:bCs/>
                <w:lang w:val="en-US"/>
              </w:rPr>
            </w:pPr>
            <w:r w:rsidRPr="00F22A35">
              <w:rPr>
                <w:rFonts w:asciiTheme="minorHAnsi" w:eastAsia="Times New Roman" w:hAnsiTheme="minorHAnsi" w:cstheme="minorHAnsi"/>
                <w:b/>
                <w:bCs/>
              </w:rPr>
              <w:t xml:space="preserve">Εκατ. </w:t>
            </w:r>
            <w:r w:rsidRPr="00F22A35">
              <w:rPr>
                <w:rFonts w:asciiTheme="minorHAnsi" w:eastAsia="Times New Roman" w:hAnsiTheme="minorHAnsi" w:cstheme="minorHAnsi"/>
                <w:b/>
                <w:bCs/>
                <w:lang w:val="en-US"/>
              </w:rPr>
              <w:t>€</w:t>
            </w:r>
          </w:p>
        </w:tc>
        <w:tc>
          <w:tcPr>
            <w:tcW w:w="1990" w:type="dxa"/>
            <w:tcBorders>
              <w:top w:val="single" w:sz="4" w:space="0" w:color="00B0F0"/>
              <w:left w:val="nil"/>
              <w:bottom w:val="single" w:sz="4" w:space="0" w:color="00B0F0"/>
              <w:right w:val="nil"/>
            </w:tcBorders>
            <w:shd w:val="clear" w:color="auto" w:fill="auto"/>
            <w:noWrap/>
            <w:vAlign w:val="center"/>
            <w:hideMark/>
          </w:tcPr>
          <w:p w14:paraId="1C762085" w14:textId="24A0E363" w:rsidR="00AE31D2" w:rsidRPr="00F22A35" w:rsidRDefault="00C83B0D" w:rsidP="00AB5A93">
            <w:pPr>
              <w:spacing w:after="0"/>
              <w:jc w:val="center"/>
              <w:rPr>
                <w:rFonts w:asciiTheme="minorHAnsi" w:eastAsia="Times New Roman" w:hAnsiTheme="minorHAnsi" w:cstheme="minorHAnsi"/>
                <w:b/>
                <w:bCs/>
                <w:lang w:val="en-US"/>
              </w:rPr>
            </w:pPr>
            <w:r>
              <w:rPr>
                <w:rFonts w:asciiTheme="minorHAnsi" w:eastAsia="Times New Roman" w:hAnsiTheme="minorHAnsi" w:cstheme="minorHAnsi"/>
                <w:b/>
                <w:bCs/>
              </w:rPr>
              <w:t>1</w:t>
            </w:r>
            <w:r>
              <w:rPr>
                <w:rFonts w:asciiTheme="minorHAnsi" w:eastAsia="Times New Roman" w:hAnsiTheme="minorHAnsi" w:cstheme="minorHAnsi"/>
                <w:b/>
                <w:bCs/>
                <w:lang w:val="en-GB"/>
              </w:rPr>
              <w:t xml:space="preserve">Q </w:t>
            </w:r>
            <w:r w:rsidR="00AE31D2" w:rsidRPr="00F22A35">
              <w:rPr>
                <w:rFonts w:asciiTheme="minorHAnsi" w:eastAsia="Times New Roman" w:hAnsiTheme="minorHAnsi" w:cstheme="minorHAnsi"/>
                <w:b/>
                <w:bCs/>
                <w:lang w:val="en-US"/>
              </w:rPr>
              <w:t>2</w:t>
            </w:r>
            <w:r>
              <w:rPr>
                <w:rFonts w:asciiTheme="minorHAnsi" w:eastAsia="Times New Roman" w:hAnsiTheme="minorHAnsi" w:cstheme="minorHAnsi"/>
                <w:b/>
                <w:bCs/>
                <w:lang w:val="en-US"/>
              </w:rPr>
              <w:t>023</w:t>
            </w:r>
          </w:p>
        </w:tc>
        <w:tc>
          <w:tcPr>
            <w:tcW w:w="1990" w:type="dxa"/>
            <w:tcBorders>
              <w:top w:val="single" w:sz="4" w:space="0" w:color="00B0F0"/>
              <w:left w:val="nil"/>
              <w:bottom w:val="single" w:sz="4" w:space="0" w:color="00B0F0"/>
              <w:right w:val="nil"/>
            </w:tcBorders>
            <w:vAlign w:val="center"/>
          </w:tcPr>
          <w:p w14:paraId="566BED2C" w14:textId="43263EF0" w:rsidR="00AE31D2" w:rsidRPr="00F22A35" w:rsidRDefault="00C83B0D" w:rsidP="00AB5A93">
            <w:pPr>
              <w:spacing w:after="0"/>
              <w:jc w:val="center"/>
              <w:rPr>
                <w:rFonts w:asciiTheme="minorHAnsi" w:eastAsia="Times New Roman" w:hAnsiTheme="minorHAnsi" w:cstheme="minorHAnsi"/>
                <w:b/>
                <w:bCs/>
                <w:lang w:val="en-US"/>
              </w:rPr>
            </w:pPr>
            <w:r>
              <w:rPr>
                <w:rFonts w:asciiTheme="minorHAnsi" w:eastAsia="Times New Roman" w:hAnsiTheme="minorHAnsi" w:cstheme="minorHAnsi"/>
                <w:lang w:val="en-US"/>
              </w:rPr>
              <w:t xml:space="preserve">1Q </w:t>
            </w:r>
            <w:r w:rsidR="00AE31D2" w:rsidRPr="00F22A35">
              <w:rPr>
                <w:rFonts w:asciiTheme="minorHAnsi" w:eastAsia="Times New Roman" w:hAnsiTheme="minorHAnsi" w:cstheme="minorHAnsi"/>
                <w:lang w:val="en-US"/>
              </w:rPr>
              <w:t>202</w:t>
            </w:r>
            <w:r>
              <w:rPr>
                <w:rFonts w:asciiTheme="minorHAnsi" w:eastAsia="Times New Roman" w:hAnsiTheme="minorHAnsi" w:cstheme="minorHAnsi"/>
                <w:lang w:val="en-US"/>
              </w:rPr>
              <w:t>2</w:t>
            </w:r>
          </w:p>
        </w:tc>
      </w:tr>
      <w:tr w:rsidR="00C83B0D" w:rsidRPr="00F22A35" w14:paraId="620EA426" w14:textId="6A5D3082" w:rsidTr="00551301">
        <w:trPr>
          <w:trHeight w:val="346"/>
        </w:trPr>
        <w:tc>
          <w:tcPr>
            <w:tcW w:w="5668" w:type="dxa"/>
            <w:tcBorders>
              <w:top w:val="single" w:sz="4" w:space="0" w:color="00B0F0"/>
              <w:left w:val="nil"/>
              <w:bottom w:val="nil"/>
              <w:right w:val="nil"/>
            </w:tcBorders>
            <w:shd w:val="clear" w:color="auto" w:fill="auto"/>
            <w:noWrap/>
            <w:vAlign w:val="center"/>
            <w:hideMark/>
          </w:tcPr>
          <w:p w14:paraId="7F04B02B" w14:textId="77150D87" w:rsidR="00C83B0D" w:rsidRPr="00F22A35" w:rsidRDefault="00C83B0D" w:rsidP="00C83B0D">
            <w:pPr>
              <w:spacing w:after="0"/>
              <w:rPr>
                <w:rFonts w:asciiTheme="minorHAnsi" w:eastAsia="Times New Roman" w:hAnsiTheme="minorHAnsi" w:cstheme="minorHAnsi"/>
              </w:rPr>
            </w:pPr>
            <w:r w:rsidRPr="00F22A35">
              <w:rPr>
                <w:rFonts w:asciiTheme="minorHAnsi" w:eastAsia="Times New Roman" w:hAnsiTheme="minorHAnsi" w:cstheme="minorHAnsi"/>
              </w:rPr>
              <w:t>Συνολικά έσοδα</w:t>
            </w:r>
          </w:p>
        </w:tc>
        <w:tc>
          <w:tcPr>
            <w:tcW w:w="1990" w:type="dxa"/>
            <w:tcBorders>
              <w:top w:val="single" w:sz="4" w:space="0" w:color="00B0F0"/>
              <w:left w:val="nil"/>
              <w:bottom w:val="nil"/>
              <w:right w:val="nil"/>
            </w:tcBorders>
            <w:shd w:val="clear" w:color="auto" w:fill="auto"/>
            <w:noWrap/>
            <w:vAlign w:val="bottom"/>
            <w:hideMark/>
          </w:tcPr>
          <w:p w14:paraId="514AF3E2" w14:textId="7C96F546" w:rsidR="00C83B0D" w:rsidRPr="00C83B0D" w:rsidRDefault="00C83B0D" w:rsidP="00C83B0D">
            <w:pPr>
              <w:spacing w:after="0"/>
              <w:jc w:val="center"/>
              <w:rPr>
                <w:rFonts w:asciiTheme="minorHAnsi" w:eastAsia="Times New Roman" w:hAnsiTheme="minorHAnsi" w:cstheme="minorHAnsi"/>
                <w:b/>
                <w:bCs/>
                <w:highlight w:val="yellow"/>
              </w:rPr>
            </w:pPr>
            <w:r w:rsidRPr="00C83B0D">
              <w:rPr>
                <w:rFonts w:cs="Calibri"/>
                <w:b/>
                <w:bCs/>
                <w:color w:val="000000"/>
              </w:rPr>
              <w:t>8</w:t>
            </w:r>
            <w:r w:rsidR="001C5287">
              <w:rPr>
                <w:rFonts w:cs="Calibri"/>
                <w:b/>
                <w:bCs/>
                <w:color w:val="000000"/>
              </w:rPr>
              <w:t>19</w:t>
            </w:r>
            <w:r w:rsidR="00707124">
              <w:rPr>
                <w:rFonts w:cs="Calibri"/>
                <w:b/>
                <w:bCs/>
                <w:color w:val="000000"/>
              </w:rPr>
              <w:t>,</w:t>
            </w:r>
            <w:r w:rsidR="001C5287">
              <w:rPr>
                <w:rFonts w:cs="Calibri"/>
                <w:b/>
                <w:bCs/>
                <w:color w:val="000000"/>
              </w:rPr>
              <w:t>7</w:t>
            </w:r>
          </w:p>
        </w:tc>
        <w:tc>
          <w:tcPr>
            <w:tcW w:w="1990" w:type="dxa"/>
            <w:tcBorders>
              <w:top w:val="single" w:sz="4" w:space="0" w:color="00B0F0"/>
              <w:left w:val="nil"/>
              <w:bottom w:val="nil"/>
              <w:right w:val="nil"/>
            </w:tcBorders>
            <w:vAlign w:val="bottom"/>
          </w:tcPr>
          <w:p w14:paraId="402CF7E6" w14:textId="034A1433" w:rsidR="00C83B0D" w:rsidRPr="00F22A35" w:rsidRDefault="00C83B0D" w:rsidP="00C83B0D">
            <w:pPr>
              <w:spacing w:after="0"/>
              <w:jc w:val="center"/>
              <w:rPr>
                <w:rFonts w:asciiTheme="minorHAnsi" w:eastAsia="Times New Roman" w:hAnsiTheme="minorHAnsi" w:cstheme="minorHAnsi"/>
                <w:b/>
                <w:bCs/>
                <w:highlight w:val="yellow"/>
                <w:lang w:val="en-US"/>
              </w:rPr>
            </w:pPr>
            <w:r>
              <w:rPr>
                <w:rFonts w:cs="Calibri"/>
                <w:color w:val="000000"/>
              </w:rPr>
              <w:t>634</w:t>
            </w:r>
            <w:r w:rsidR="00707124">
              <w:rPr>
                <w:rFonts w:cs="Calibri"/>
                <w:color w:val="000000"/>
              </w:rPr>
              <w:t>,</w:t>
            </w:r>
            <w:r>
              <w:rPr>
                <w:rFonts w:cs="Calibri"/>
                <w:color w:val="000000"/>
              </w:rPr>
              <w:t>0</w:t>
            </w:r>
          </w:p>
        </w:tc>
      </w:tr>
      <w:tr w:rsidR="00C83B0D" w:rsidRPr="00F22A35" w14:paraId="27E1D22C" w14:textId="5AD40BF9" w:rsidTr="00551301">
        <w:trPr>
          <w:trHeight w:val="346"/>
        </w:trPr>
        <w:tc>
          <w:tcPr>
            <w:tcW w:w="5668" w:type="dxa"/>
            <w:tcBorders>
              <w:top w:val="nil"/>
              <w:left w:val="nil"/>
              <w:bottom w:val="nil"/>
              <w:right w:val="nil"/>
            </w:tcBorders>
            <w:shd w:val="clear" w:color="auto" w:fill="auto"/>
            <w:noWrap/>
            <w:vAlign w:val="center"/>
            <w:hideMark/>
          </w:tcPr>
          <w:p w14:paraId="66BC3EA9" w14:textId="51214BF9" w:rsidR="00C83B0D" w:rsidRPr="00CF684A" w:rsidRDefault="00C83B0D" w:rsidP="00C83B0D">
            <w:pPr>
              <w:spacing w:after="0"/>
              <w:rPr>
                <w:rFonts w:asciiTheme="minorHAnsi" w:eastAsia="Times New Roman" w:hAnsiTheme="minorHAnsi" w:cstheme="minorHAnsi"/>
                <w:vertAlign w:val="superscript"/>
                <w:lang w:val="en-GB"/>
              </w:rPr>
            </w:pPr>
            <w:r w:rsidRPr="00F22A35">
              <w:rPr>
                <w:rFonts w:asciiTheme="minorHAnsi" w:eastAsia="Times New Roman" w:hAnsiTheme="minorHAnsi" w:cstheme="minorHAnsi"/>
              </w:rPr>
              <w:t xml:space="preserve">Λειτουργική κερδοφορία (προσαρμοσμένο </w:t>
            </w:r>
            <w:r w:rsidRPr="00F22A35">
              <w:rPr>
                <w:rFonts w:asciiTheme="minorHAnsi" w:eastAsia="Times New Roman" w:hAnsiTheme="minorHAnsi" w:cstheme="minorHAnsi"/>
                <w:lang w:val="en-US"/>
              </w:rPr>
              <w:t>EBITDA</w:t>
            </w:r>
            <w:r w:rsidRPr="00F22A35">
              <w:rPr>
                <w:rFonts w:asciiTheme="minorHAnsi" w:eastAsia="Times New Roman" w:hAnsiTheme="minorHAnsi" w:cstheme="minorHAnsi"/>
              </w:rPr>
              <w:t>)</w:t>
            </w:r>
            <w:r>
              <w:rPr>
                <w:rFonts w:asciiTheme="minorHAnsi" w:eastAsia="Times New Roman" w:hAnsiTheme="minorHAnsi" w:cstheme="minorHAnsi"/>
                <w:vertAlign w:val="superscript"/>
              </w:rPr>
              <w:t>(1)</w:t>
            </w:r>
          </w:p>
        </w:tc>
        <w:tc>
          <w:tcPr>
            <w:tcW w:w="1990" w:type="dxa"/>
            <w:tcBorders>
              <w:top w:val="nil"/>
              <w:left w:val="nil"/>
              <w:bottom w:val="nil"/>
              <w:right w:val="nil"/>
            </w:tcBorders>
            <w:shd w:val="clear" w:color="auto" w:fill="auto"/>
            <w:noWrap/>
            <w:vAlign w:val="bottom"/>
            <w:hideMark/>
          </w:tcPr>
          <w:p w14:paraId="0DE0752A" w14:textId="573BA932" w:rsidR="00C83B0D" w:rsidRPr="00C83B0D" w:rsidRDefault="00C83B0D" w:rsidP="00C83B0D">
            <w:pPr>
              <w:spacing w:after="0"/>
              <w:jc w:val="center"/>
              <w:rPr>
                <w:rFonts w:asciiTheme="minorHAnsi" w:eastAsia="Times New Roman" w:hAnsiTheme="minorHAnsi" w:cstheme="minorHAnsi"/>
                <w:b/>
                <w:bCs/>
                <w:highlight w:val="yellow"/>
              </w:rPr>
            </w:pPr>
            <w:r w:rsidRPr="00C83B0D">
              <w:rPr>
                <w:rFonts w:cs="Calibri"/>
                <w:b/>
                <w:bCs/>
                <w:color w:val="000000"/>
              </w:rPr>
              <w:t>12</w:t>
            </w:r>
            <w:r w:rsidR="001C5287">
              <w:rPr>
                <w:rFonts w:cs="Calibri"/>
                <w:b/>
                <w:bCs/>
                <w:color w:val="000000"/>
              </w:rPr>
              <w:t>3</w:t>
            </w:r>
            <w:r w:rsidR="00707124">
              <w:rPr>
                <w:rFonts w:cs="Calibri"/>
                <w:b/>
                <w:bCs/>
                <w:color w:val="000000"/>
              </w:rPr>
              <w:t>,</w:t>
            </w:r>
            <w:r w:rsidR="001C5287">
              <w:rPr>
                <w:rFonts w:cs="Calibri"/>
                <w:b/>
                <w:bCs/>
                <w:color w:val="000000"/>
              </w:rPr>
              <w:t>6</w:t>
            </w:r>
          </w:p>
        </w:tc>
        <w:tc>
          <w:tcPr>
            <w:tcW w:w="1990" w:type="dxa"/>
            <w:tcBorders>
              <w:top w:val="nil"/>
              <w:left w:val="nil"/>
              <w:bottom w:val="nil"/>
              <w:right w:val="nil"/>
            </w:tcBorders>
            <w:vAlign w:val="bottom"/>
          </w:tcPr>
          <w:p w14:paraId="75BFE99B" w14:textId="295499B1" w:rsidR="00C83B0D" w:rsidRPr="00F22A35" w:rsidRDefault="00C83B0D" w:rsidP="00C83B0D">
            <w:pPr>
              <w:spacing w:after="0"/>
              <w:jc w:val="center"/>
              <w:rPr>
                <w:rFonts w:asciiTheme="minorHAnsi" w:eastAsia="Times New Roman" w:hAnsiTheme="minorHAnsi" w:cstheme="minorHAnsi"/>
                <w:b/>
                <w:bCs/>
                <w:highlight w:val="yellow"/>
                <w:lang w:val="en-US"/>
              </w:rPr>
            </w:pPr>
            <w:r>
              <w:rPr>
                <w:rFonts w:cs="Calibri"/>
                <w:color w:val="000000"/>
              </w:rPr>
              <w:t>105</w:t>
            </w:r>
            <w:r w:rsidR="00707124">
              <w:rPr>
                <w:rFonts w:cs="Calibri"/>
                <w:color w:val="000000"/>
              </w:rPr>
              <w:t>,</w:t>
            </w:r>
            <w:r>
              <w:rPr>
                <w:rFonts w:cs="Calibri"/>
                <w:color w:val="000000"/>
              </w:rPr>
              <w:t>0</w:t>
            </w:r>
          </w:p>
        </w:tc>
      </w:tr>
      <w:tr w:rsidR="00C83B0D" w:rsidRPr="00F22A35" w14:paraId="63B0446E" w14:textId="0AA74CF7" w:rsidTr="00551301">
        <w:trPr>
          <w:trHeight w:val="346"/>
        </w:trPr>
        <w:tc>
          <w:tcPr>
            <w:tcW w:w="5668" w:type="dxa"/>
            <w:tcBorders>
              <w:top w:val="nil"/>
              <w:left w:val="nil"/>
              <w:bottom w:val="nil"/>
              <w:right w:val="nil"/>
            </w:tcBorders>
            <w:shd w:val="clear" w:color="auto" w:fill="auto"/>
            <w:noWrap/>
            <w:vAlign w:val="center"/>
            <w:hideMark/>
          </w:tcPr>
          <w:p w14:paraId="1D48A01A" w14:textId="162FF6B5" w:rsidR="00C83B0D" w:rsidRPr="00F22A35" w:rsidRDefault="00C83B0D" w:rsidP="00C83B0D">
            <w:pPr>
              <w:spacing w:after="0"/>
              <w:rPr>
                <w:rFonts w:asciiTheme="minorHAnsi" w:eastAsia="Times New Roman" w:hAnsiTheme="minorHAnsi" w:cstheme="minorHAnsi"/>
              </w:rPr>
            </w:pPr>
            <w:r w:rsidRPr="00F22A35">
              <w:rPr>
                <w:rFonts w:asciiTheme="minorHAnsi" w:eastAsia="Times New Roman" w:hAnsiTheme="minorHAnsi" w:cstheme="minorHAnsi"/>
              </w:rPr>
              <w:t>Καθαρά κέρδη αποδιδόμενα στους μετόχους</w:t>
            </w:r>
          </w:p>
        </w:tc>
        <w:tc>
          <w:tcPr>
            <w:tcW w:w="1990" w:type="dxa"/>
            <w:tcBorders>
              <w:top w:val="nil"/>
              <w:left w:val="nil"/>
              <w:bottom w:val="nil"/>
              <w:right w:val="nil"/>
            </w:tcBorders>
            <w:shd w:val="clear" w:color="auto" w:fill="auto"/>
            <w:noWrap/>
            <w:vAlign w:val="bottom"/>
            <w:hideMark/>
          </w:tcPr>
          <w:p w14:paraId="6642C0FF" w14:textId="449A9663" w:rsidR="00C83B0D" w:rsidRPr="001C5287" w:rsidRDefault="001C5287" w:rsidP="00C83B0D">
            <w:pPr>
              <w:spacing w:after="0"/>
              <w:jc w:val="center"/>
              <w:rPr>
                <w:rFonts w:asciiTheme="minorHAnsi" w:eastAsia="Times New Roman" w:hAnsiTheme="minorHAnsi" w:cstheme="minorHAnsi"/>
                <w:b/>
                <w:bCs/>
              </w:rPr>
            </w:pPr>
            <w:r w:rsidRPr="001C5287">
              <w:rPr>
                <w:rFonts w:asciiTheme="minorHAnsi" w:eastAsia="Times New Roman" w:hAnsiTheme="minorHAnsi" w:cstheme="minorHAnsi"/>
                <w:b/>
                <w:bCs/>
              </w:rPr>
              <w:t>38,8</w:t>
            </w:r>
          </w:p>
        </w:tc>
        <w:tc>
          <w:tcPr>
            <w:tcW w:w="1990" w:type="dxa"/>
            <w:tcBorders>
              <w:top w:val="nil"/>
              <w:left w:val="nil"/>
              <w:bottom w:val="nil"/>
              <w:right w:val="nil"/>
            </w:tcBorders>
            <w:vAlign w:val="bottom"/>
          </w:tcPr>
          <w:p w14:paraId="3B7F57CE" w14:textId="7718B79A" w:rsidR="00C83B0D" w:rsidRPr="001C5287" w:rsidRDefault="00C83B0D" w:rsidP="00C83B0D">
            <w:pPr>
              <w:spacing w:after="0"/>
              <w:jc w:val="center"/>
              <w:rPr>
                <w:rFonts w:asciiTheme="minorHAnsi" w:eastAsia="Times New Roman" w:hAnsiTheme="minorHAnsi" w:cstheme="minorHAnsi"/>
                <w:b/>
                <w:bCs/>
                <w:lang w:val="en-US"/>
              </w:rPr>
            </w:pPr>
            <w:r w:rsidRPr="001C5287">
              <w:rPr>
                <w:rFonts w:cs="Calibri"/>
                <w:color w:val="000000"/>
              </w:rPr>
              <w:t>8</w:t>
            </w:r>
            <w:r w:rsidR="00707124" w:rsidRPr="001C5287">
              <w:rPr>
                <w:rFonts w:cs="Calibri"/>
                <w:color w:val="000000"/>
              </w:rPr>
              <w:t>,</w:t>
            </w:r>
            <w:r w:rsidR="001C5287" w:rsidRPr="001C5287">
              <w:rPr>
                <w:rFonts w:cs="Calibri"/>
                <w:color w:val="000000"/>
              </w:rPr>
              <w:t>1</w:t>
            </w:r>
          </w:p>
        </w:tc>
      </w:tr>
      <w:tr w:rsidR="00C83B0D" w:rsidRPr="00F22A35" w14:paraId="30141490" w14:textId="20CA61AA" w:rsidTr="00551301">
        <w:trPr>
          <w:trHeight w:val="346"/>
        </w:trPr>
        <w:tc>
          <w:tcPr>
            <w:tcW w:w="5668" w:type="dxa"/>
            <w:tcBorders>
              <w:top w:val="nil"/>
              <w:left w:val="nil"/>
              <w:bottom w:val="nil"/>
              <w:right w:val="nil"/>
            </w:tcBorders>
            <w:shd w:val="clear" w:color="auto" w:fill="auto"/>
            <w:noWrap/>
            <w:vAlign w:val="center"/>
            <w:hideMark/>
          </w:tcPr>
          <w:p w14:paraId="7C3E17F5" w14:textId="65A220D7" w:rsidR="00C83B0D" w:rsidRPr="00CF684A" w:rsidRDefault="00C83B0D" w:rsidP="00C83B0D">
            <w:pPr>
              <w:spacing w:after="0"/>
              <w:rPr>
                <w:rFonts w:asciiTheme="minorHAnsi" w:eastAsia="Times New Roman" w:hAnsiTheme="minorHAnsi" w:cstheme="minorHAnsi"/>
                <w:vertAlign w:val="superscript"/>
              </w:rPr>
            </w:pPr>
            <w:r w:rsidRPr="00F22A35">
              <w:rPr>
                <w:rFonts w:asciiTheme="minorHAnsi" w:eastAsia="Times New Roman" w:hAnsiTheme="minorHAnsi" w:cstheme="minorHAnsi"/>
              </w:rPr>
              <w:t>Κέρδη αποδιδόμενα στους μετόχους προσαρμοσμένα για μη λειτουργικά αποτελέσματα</w:t>
            </w:r>
            <w:r>
              <w:rPr>
                <w:rFonts w:asciiTheme="minorHAnsi" w:eastAsia="Times New Roman" w:hAnsiTheme="minorHAnsi" w:cstheme="minorHAnsi"/>
                <w:vertAlign w:val="superscript"/>
              </w:rPr>
              <w:t>(2)</w:t>
            </w:r>
          </w:p>
        </w:tc>
        <w:tc>
          <w:tcPr>
            <w:tcW w:w="1990" w:type="dxa"/>
            <w:tcBorders>
              <w:top w:val="nil"/>
              <w:left w:val="nil"/>
              <w:bottom w:val="nil"/>
              <w:right w:val="nil"/>
            </w:tcBorders>
            <w:shd w:val="clear" w:color="auto" w:fill="auto"/>
            <w:noWrap/>
            <w:vAlign w:val="bottom"/>
          </w:tcPr>
          <w:p w14:paraId="6AB5C53D" w14:textId="5A98E487" w:rsidR="00C83B0D" w:rsidRPr="00C83B0D" w:rsidRDefault="00C83B0D" w:rsidP="00C83B0D">
            <w:pPr>
              <w:spacing w:after="0"/>
              <w:jc w:val="center"/>
              <w:rPr>
                <w:rFonts w:asciiTheme="minorHAnsi" w:eastAsia="Times New Roman" w:hAnsiTheme="minorHAnsi" w:cstheme="minorHAnsi"/>
                <w:b/>
                <w:bCs/>
                <w:highlight w:val="yellow"/>
                <w:lang w:val="en-US"/>
              </w:rPr>
            </w:pPr>
            <w:r w:rsidRPr="00C83B0D">
              <w:rPr>
                <w:rFonts w:cs="Calibri"/>
                <w:b/>
                <w:bCs/>
                <w:color w:val="000000"/>
              </w:rPr>
              <w:t>2</w:t>
            </w:r>
            <w:r w:rsidR="001C5287">
              <w:rPr>
                <w:rFonts w:cs="Calibri"/>
                <w:b/>
                <w:bCs/>
                <w:color w:val="000000"/>
              </w:rPr>
              <w:t>3,0</w:t>
            </w:r>
          </w:p>
        </w:tc>
        <w:tc>
          <w:tcPr>
            <w:tcW w:w="1990" w:type="dxa"/>
            <w:tcBorders>
              <w:top w:val="nil"/>
              <w:left w:val="nil"/>
              <w:bottom w:val="nil"/>
              <w:right w:val="nil"/>
            </w:tcBorders>
            <w:vAlign w:val="bottom"/>
          </w:tcPr>
          <w:p w14:paraId="472731BD" w14:textId="001C3A29" w:rsidR="00C83B0D" w:rsidRPr="00F22A35" w:rsidRDefault="00C83B0D" w:rsidP="00C83B0D">
            <w:pPr>
              <w:spacing w:after="0"/>
              <w:jc w:val="center"/>
              <w:rPr>
                <w:rFonts w:asciiTheme="minorHAnsi" w:eastAsia="Times New Roman" w:hAnsiTheme="minorHAnsi" w:cstheme="minorHAnsi"/>
                <w:b/>
                <w:bCs/>
                <w:highlight w:val="yellow"/>
                <w:lang w:val="en-US"/>
              </w:rPr>
            </w:pPr>
            <w:r>
              <w:rPr>
                <w:rFonts w:cs="Calibri"/>
                <w:color w:val="000000"/>
              </w:rPr>
              <w:t>9</w:t>
            </w:r>
            <w:r w:rsidR="00707124">
              <w:rPr>
                <w:rFonts w:cs="Calibri"/>
                <w:color w:val="000000"/>
              </w:rPr>
              <w:t>,</w:t>
            </w:r>
            <w:r w:rsidR="001C5287">
              <w:rPr>
                <w:rFonts w:cs="Calibri"/>
                <w:color w:val="000000"/>
              </w:rPr>
              <w:t>6</w:t>
            </w:r>
          </w:p>
        </w:tc>
      </w:tr>
      <w:tr w:rsidR="00E41F06" w:rsidRPr="00F22A35" w14:paraId="313ED855" w14:textId="77777777" w:rsidTr="00551301">
        <w:trPr>
          <w:trHeight w:val="346"/>
        </w:trPr>
        <w:tc>
          <w:tcPr>
            <w:tcW w:w="5668" w:type="dxa"/>
            <w:tcBorders>
              <w:top w:val="nil"/>
              <w:left w:val="nil"/>
              <w:bottom w:val="nil"/>
              <w:right w:val="nil"/>
            </w:tcBorders>
            <w:shd w:val="clear" w:color="auto" w:fill="auto"/>
            <w:noWrap/>
            <w:vAlign w:val="center"/>
          </w:tcPr>
          <w:p w14:paraId="2C593CFB" w14:textId="77777777" w:rsidR="00E41F06" w:rsidRPr="00F22A35" w:rsidRDefault="00E41F06" w:rsidP="00AB5A93">
            <w:pPr>
              <w:spacing w:after="0"/>
              <w:rPr>
                <w:rFonts w:asciiTheme="minorHAnsi" w:eastAsia="Times New Roman" w:hAnsiTheme="minorHAnsi" w:cstheme="minorHAnsi"/>
              </w:rPr>
            </w:pPr>
          </w:p>
        </w:tc>
        <w:tc>
          <w:tcPr>
            <w:tcW w:w="1990" w:type="dxa"/>
            <w:tcBorders>
              <w:top w:val="nil"/>
              <w:left w:val="nil"/>
              <w:bottom w:val="nil"/>
              <w:right w:val="nil"/>
            </w:tcBorders>
            <w:shd w:val="clear" w:color="auto" w:fill="auto"/>
            <w:noWrap/>
            <w:vAlign w:val="bottom"/>
          </w:tcPr>
          <w:p w14:paraId="7685433F" w14:textId="77777777" w:rsidR="00E41F06" w:rsidRPr="00F22A35" w:rsidRDefault="00E41F06" w:rsidP="00AB5A93">
            <w:pPr>
              <w:spacing w:after="0"/>
              <w:jc w:val="center"/>
              <w:rPr>
                <w:rFonts w:cs="Calibri"/>
                <w:b/>
                <w:bCs/>
                <w:color w:val="000000"/>
              </w:rPr>
            </w:pPr>
          </w:p>
        </w:tc>
        <w:tc>
          <w:tcPr>
            <w:tcW w:w="1990" w:type="dxa"/>
            <w:tcBorders>
              <w:top w:val="nil"/>
              <w:left w:val="nil"/>
              <w:bottom w:val="nil"/>
              <w:right w:val="nil"/>
            </w:tcBorders>
            <w:vAlign w:val="bottom"/>
          </w:tcPr>
          <w:p w14:paraId="7171AE76" w14:textId="77777777" w:rsidR="00E41F06" w:rsidRPr="00F22A35" w:rsidRDefault="00E41F06" w:rsidP="00AB5A93">
            <w:pPr>
              <w:spacing w:after="0"/>
              <w:jc w:val="center"/>
              <w:rPr>
                <w:rFonts w:cs="Calibri"/>
                <w:color w:val="000000"/>
              </w:rPr>
            </w:pPr>
          </w:p>
        </w:tc>
      </w:tr>
      <w:tr w:rsidR="00AB5A93" w:rsidRPr="00F22A35" w14:paraId="5367731A" w14:textId="77777777" w:rsidTr="00E41F06">
        <w:trPr>
          <w:trHeight w:val="346"/>
        </w:trPr>
        <w:tc>
          <w:tcPr>
            <w:tcW w:w="5668" w:type="dxa"/>
            <w:tcBorders>
              <w:top w:val="single" w:sz="4" w:space="0" w:color="00B0F0"/>
              <w:left w:val="nil"/>
              <w:bottom w:val="single" w:sz="4" w:space="0" w:color="00B0F0"/>
              <w:right w:val="nil"/>
            </w:tcBorders>
            <w:shd w:val="clear" w:color="auto" w:fill="auto"/>
            <w:noWrap/>
            <w:vAlign w:val="center"/>
          </w:tcPr>
          <w:p w14:paraId="45290891" w14:textId="142A812D" w:rsidR="00AB5A93" w:rsidRPr="00F22A35" w:rsidRDefault="00AB5A93" w:rsidP="00AB5A93">
            <w:pPr>
              <w:spacing w:after="0"/>
              <w:rPr>
                <w:rFonts w:asciiTheme="minorHAnsi" w:eastAsia="Times New Roman" w:hAnsiTheme="minorHAnsi" w:cstheme="minorHAnsi"/>
              </w:rPr>
            </w:pPr>
            <w:r w:rsidRPr="00F22A35">
              <w:rPr>
                <w:rFonts w:asciiTheme="minorHAnsi" w:eastAsia="Times New Roman" w:hAnsiTheme="minorHAnsi" w:cstheme="minorHAnsi"/>
                <w:b/>
                <w:bCs/>
              </w:rPr>
              <w:t xml:space="preserve">Εκατ. </w:t>
            </w:r>
            <w:r w:rsidRPr="00F22A35">
              <w:rPr>
                <w:rFonts w:asciiTheme="minorHAnsi" w:eastAsia="Times New Roman" w:hAnsiTheme="minorHAnsi" w:cstheme="minorHAnsi"/>
                <w:b/>
                <w:bCs/>
                <w:lang w:val="en-US"/>
              </w:rPr>
              <w:t>€</w:t>
            </w:r>
          </w:p>
        </w:tc>
        <w:tc>
          <w:tcPr>
            <w:tcW w:w="1990" w:type="dxa"/>
            <w:tcBorders>
              <w:top w:val="single" w:sz="4" w:space="0" w:color="00B0F0"/>
              <w:left w:val="nil"/>
              <w:bottom w:val="single" w:sz="4" w:space="0" w:color="00B0F0"/>
              <w:right w:val="nil"/>
            </w:tcBorders>
            <w:shd w:val="clear" w:color="auto" w:fill="auto"/>
            <w:noWrap/>
            <w:vAlign w:val="center"/>
          </w:tcPr>
          <w:p w14:paraId="523A6FC7" w14:textId="5C0B1A43" w:rsidR="00AB5A93" w:rsidRPr="00F22A35" w:rsidRDefault="00C83B0D" w:rsidP="00AB5A93">
            <w:pPr>
              <w:spacing w:after="0"/>
              <w:jc w:val="center"/>
              <w:rPr>
                <w:rFonts w:cs="Calibri"/>
                <w:b/>
                <w:bCs/>
                <w:color w:val="000000"/>
              </w:rPr>
            </w:pPr>
            <w:r>
              <w:rPr>
                <w:rFonts w:asciiTheme="minorHAnsi" w:eastAsia="Times New Roman" w:hAnsiTheme="minorHAnsi" w:cstheme="minorHAnsi"/>
                <w:b/>
                <w:bCs/>
              </w:rPr>
              <w:t>1</w:t>
            </w:r>
            <w:r>
              <w:rPr>
                <w:rFonts w:asciiTheme="minorHAnsi" w:eastAsia="Times New Roman" w:hAnsiTheme="minorHAnsi" w:cstheme="minorHAnsi"/>
                <w:b/>
                <w:bCs/>
                <w:lang w:val="en-GB"/>
              </w:rPr>
              <w:t xml:space="preserve">Q </w:t>
            </w:r>
            <w:r w:rsidRPr="00F22A35">
              <w:rPr>
                <w:rFonts w:asciiTheme="minorHAnsi" w:eastAsia="Times New Roman" w:hAnsiTheme="minorHAnsi" w:cstheme="minorHAnsi"/>
                <w:b/>
                <w:bCs/>
                <w:lang w:val="en-US"/>
              </w:rPr>
              <w:t>2</w:t>
            </w:r>
            <w:r>
              <w:rPr>
                <w:rFonts w:asciiTheme="minorHAnsi" w:eastAsia="Times New Roman" w:hAnsiTheme="minorHAnsi" w:cstheme="minorHAnsi"/>
                <w:b/>
                <w:bCs/>
                <w:lang w:val="en-US"/>
              </w:rPr>
              <w:t>023</w:t>
            </w:r>
          </w:p>
        </w:tc>
        <w:tc>
          <w:tcPr>
            <w:tcW w:w="1990" w:type="dxa"/>
            <w:tcBorders>
              <w:top w:val="single" w:sz="4" w:space="0" w:color="00B0F0"/>
              <w:left w:val="nil"/>
              <w:bottom w:val="single" w:sz="4" w:space="0" w:color="00B0F0"/>
              <w:right w:val="nil"/>
            </w:tcBorders>
            <w:vAlign w:val="center"/>
          </w:tcPr>
          <w:p w14:paraId="26DEFB9D" w14:textId="498086A6" w:rsidR="00AB5A93" w:rsidRPr="00F22A35" w:rsidRDefault="002E343A" w:rsidP="00AB5A93">
            <w:pPr>
              <w:spacing w:after="0"/>
              <w:jc w:val="center"/>
              <w:rPr>
                <w:rFonts w:cs="Calibri"/>
                <w:color w:val="000000"/>
              </w:rPr>
            </w:pPr>
            <w:r>
              <w:rPr>
                <w:rFonts w:asciiTheme="minorHAnsi" w:eastAsia="Times New Roman" w:hAnsiTheme="minorHAnsi" w:cstheme="minorHAnsi"/>
                <w:lang w:val="en-US"/>
              </w:rPr>
              <w:t>YE-</w:t>
            </w:r>
            <w:r w:rsidR="00AB5A93" w:rsidRPr="00F22A35">
              <w:rPr>
                <w:rFonts w:asciiTheme="minorHAnsi" w:eastAsia="Times New Roman" w:hAnsiTheme="minorHAnsi" w:cstheme="minorHAnsi"/>
                <w:lang w:val="en-US"/>
              </w:rPr>
              <w:t>202</w:t>
            </w:r>
            <w:r w:rsidR="00C83B0D">
              <w:rPr>
                <w:rFonts w:asciiTheme="minorHAnsi" w:eastAsia="Times New Roman" w:hAnsiTheme="minorHAnsi" w:cstheme="minorHAnsi"/>
                <w:lang w:val="en-US"/>
              </w:rPr>
              <w:t>2</w:t>
            </w:r>
          </w:p>
        </w:tc>
      </w:tr>
      <w:tr w:rsidR="00AB5A93" w:rsidRPr="00F22A35" w14:paraId="0485681F" w14:textId="5D970180" w:rsidTr="00E41F06">
        <w:trPr>
          <w:trHeight w:val="346"/>
        </w:trPr>
        <w:tc>
          <w:tcPr>
            <w:tcW w:w="5668" w:type="dxa"/>
            <w:tcBorders>
              <w:top w:val="single" w:sz="4" w:space="0" w:color="00B0F0"/>
              <w:left w:val="nil"/>
              <w:bottom w:val="nil"/>
              <w:right w:val="nil"/>
            </w:tcBorders>
            <w:shd w:val="clear" w:color="auto" w:fill="auto"/>
            <w:noWrap/>
            <w:vAlign w:val="center"/>
            <w:hideMark/>
          </w:tcPr>
          <w:p w14:paraId="66702FCC" w14:textId="1BC9DC8C" w:rsidR="00AB5A93" w:rsidRPr="00CF684A" w:rsidRDefault="00AB5A93" w:rsidP="00AB5A93">
            <w:pPr>
              <w:spacing w:after="0"/>
              <w:rPr>
                <w:rFonts w:asciiTheme="minorHAnsi" w:eastAsia="Times New Roman" w:hAnsiTheme="minorHAnsi" w:cstheme="minorHAnsi"/>
                <w:vertAlign w:val="superscript"/>
                <w:lang w:val="en-GB"/>
              </w:rPr>
            </w:pPr>
            <w:r w:rsidRPr="00F22A35">
              <w:rPr>
                <w:rFonts w:asciiTheme="minorHAnsi" w:eastAsia="Times New Roman" w:hAnsiTheme="minorHAnsi" w:cstheme="minorHAnsi"/>
              </w:rPr>
              <w:t>Καθαρό Χρέος</w:t>
            </w:r>
            <w:r w:rsidR="00CF684A">
              <w:rPr>
                <w:rFonts w:asciiTheme="minorHAnsi" w:eastAsia="Times New Roman" w:hAnsiTheme="minorHAnsi" w:cstheme="minorHAnsi"/>
                <w:vertAlign w:val="superscript"/>
              </w:rPr>
              <w:t>(1)</w:t>
            </w:r>
          </w:p>
        </w:tc>
        <w:tc>
          <w:tcPr>
            <w:tcW w:w="1990" w:type="dxa"/>
            <w:tcBorders>
              <w:top w:val="single" w:sz="4" w:space="0" w:color="00B0F0"/>
              <w:left w:val="nil"/>
              <w:bottom w:val="nil"/>
              <w:right w:val="nil"/>
            </w:tcBorders>
            <w:shd w:val="clear" w:color="auto" w:fill="auto"/>
            <w:noWrap/>
            <w:vAlign w:val="bottom"/>
            <w:hideMark/>
          </w:tcPr>
          <w:p w14:paraId="429D4887" w14:textId="25BE46FA"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b/>
                <w:bCs/>
                <w:color w:val="000000"/>
              </w:rPr>
              <w:t>1</w:t>
            </w:r>
            <w:r w:rsidR="00DF54BC">
              <w:rPr>
                <w:rFonts w:cs="Calibri"/>
                <w:b/>
                <w:bCs/>
                <w:color w:val="000000"/>
              </w:rPr>
              <w:t>.</w:t>
            </w:r>
            <w:r w:rsidRPr="00F22A35">
              <w:rPr>
                <w:rFonts w:cs="Calibri"/>
                <w:b/>
                <w:bCs/>
                <w:color w:val="000000"/>
              </w:rPr>
              <w:t>5</w:t>
            </w:r>
            <w:r w:rsidR="001C5287">
              <w:rPr>
                <w:rFonts w:cs="Calibri"/>
                <w:b/>
                <w:bCs/>
                <w:color w:val="000000"/>
              </w:rPr>
              <w:t>9</w:t>
            </w:r>
            <w:r w:rsidR="00C83B0D">
              <w:rPr>
                <w:rFonts w:cs="Calibri"/>
                <w:b/>
                <w:bCs/>
                <w:color w:val="000000"/>
                <w:lang w:val="en-GB"/>
              </w:rPr>
              <w:t>6</w:t>
            </w:r>
            <w:r w:rsidR="00DF54BC">
              <w:rPr>
                <w:rFonts w:cs="Calibri"/>
                <w:b/>
                <w:bCs/>
                <w:color w:val="000000"/>
              </w:rPr>
              <w:t>,</w:t>
            </w:r>
            <w:r w:rsidR="001C5287">
              <w:rPr>
                <w:rFonts w:cs="Calibri"/>
                <w:b/>
                <w:bCs/>
                <w:color w:val="000000"/>
              </w:rPr>
              <w:t>4</w:t>
            </w:r>
          </w:p>
        </w:tc>
        <w:tc>
          <w:tcPr>
            <w:tcW w:w="1990" w:type="dxa"/>
            <w:tcBorders>
              <w:top w:val="single" w:sz="4" w:space="0" w:color="00B0F0"/>
              <w:left w:val="nil"/>
              <w:bottom w:val="nil"/>
              <w:right w:val="nil"/>
            </w:tcBorders>
            <w:vAlign w:val="bottom"/>
          </w:tcPr>
          <w:p w14:paraId="41A73B9E" w14:textId="6A1654B3" w:rsidR="00AB5A93" w:rsidRPr="00C83B0D" w:rsidRDefault="00AB5A93" w:rsidP="00AB5A93">
            <w:pPr>
              <w:spacing w:after="0"/>
              <w:jc w:val="center"/>
              <w:rPr>
                <w:rFonts w:asciiTheme="minorHAnsi" w:eastAsia="Times New Roman" w:hAnsiTheme="minorHAnsi" w:cstheme="minorHAnsi"/>
                <w:b/>
                <w:bCs/>
                <w:highlight w:val="yellow"/>
                <w:lang w:val="en-GB"/>
              </w:rPr>
            </w:pPr>
            <w:r w:rsidRPr="00F22A35">
              <w:rPr>
                <w:rFonts w:cs="Calibri"/>
                <w:color w:val="000000"/>
              </w:rPr>
              <w:t>1</w:t>
            </w:r>
            <w:r w:rsidR="00DF54BC">
              <w:rPr>
                <w:rFonts w:cs="Calibri"/>
                <w:color w:val="000000"/>
              </w:rPr>
              <w:t>.</w:t>
            </w:r>
            <w:r w:rsidR="00C83B0D">
              <w:rPr>
                <w:rFonts w:cs="Calibri"/>
                <w:color w:val="000000"/>
                <w:lang w:val="en-GB"/>
              </w:rPr>
              <w:t>501,6</w:t>
            </w:r>
          </w:p>
        </w:tc>
      </w:tr>
      <w:tr w:rsidR="00AB5A93" w:rsidRPr="00F22A35" w14:paraId="79BB9D90" w14:textId="77777777" w:rsidTr="00551301">
        <w:trPr>
          <w:trHeight w:val="346"/>
        </w:trPr>
        <w:tc>
          <w:tcPr>
            <w:tcW w:w="5668" w:type="dxa"/>
            <w:tcBorders>
              <w:top w:val="nil"/>
              <w:left w:val="nil"/>
              <w:bottom w:val="single" w:sz="4" w:space="0" w:color="00B0F0"/>
              <w:right w:val="nil"/>
            </w:tcBorders>
            <w:shd w:val="clear" w:color="auto" w:fill="auto"/>
            <w:noWrap/>
            <w:vAlign w:val="center"/>
          </w:tcPr>
          <w:p w14:paraId="64F02175" w14:textId="2F3B6D53" w:rsidR="00AB5A93" w:rsidRPr="00CF684A" w:rsidRDefault="0000504B" w:rsidP="00AB5A93">
            <w:pPr>
              <w:spacing w:after="0"/>
              <w:rPr>
                <w:rFonts w:asciiTheme="minorHAnsi" w:eastAsia="Times New Roman" w:hAnsiTheme="minorHAnsi" w:cstheme="minorHAnsi"/>
                <w:vertAlign w:val="superscript"/>
              </w:rPr>
            </w:pPr>
            <w:bookmarkStart w:id="0" w:name="_Hlk120605461"/>
            <w:r w:rsidRPr="00F22A35">
              <w:rPr>
                <w:rFonts w:asciiTheme="minorHAnsi" w:eastAsia="Times New Roman" w:hAnsiTheme="minorHAnsi" w:cstheme="minorHAnsi"/>
              </w:rPr>
              <w:t>Καθαρό Χρέος</w:t>
            </w:r>
            <w:r w:rsidR="00AB5A93" w:rsidRPr="00F22A35">
              <w:rPr>
                <w:rFonts w:asciiTheme="minorHAnsi" w:eastAsia="Times New Roman" w:hAnsiTheme="minorHAnsi" w:cstheme="minorHAnsi"/>
              </w:rPr>
              <w:t xml:space="preserve">/ Προσαρμοσμένο </w:t>
            </w:r>
            <w:r w:rsidR="00AB5A93" w:rsidRPr="00F22A35">
              <w:rPr>
                <w:rFonts w:asciiTheme="minorHAnsi" w:eastAsia="Times New Roman" w:hAnsiTheme="minorHAnsi" w:cstheme="minorHAnsi"/>
                <w:lang w:val="en-US"/>
              </w:rPr>
              <w:t>EBITDA</w:t>
            </w:r>
            <w:bookmarkEnd w:id="0"/>
            <w:r w:rsidR="002E343A">
              <w:rPr>
                <w:rFonts w:asciiTheme="minorHAnsi" w:eastAsia="Times New Roman" w:hAnsiTheme="minorHAnsi" w:cstheme="minorHAnsi"/>
                <w:lang w:val="en-US"/>
              </w:rPr>
              <w:t xml:space="preserve"> </w:t>
            </w:r>
            <w:r w:rsidR="00CF684A">
              <w:rPr>
                <w:rFonts w:asciiTheme="minorHAnsi" w:eastAsia="Times New Roman" w:hAnsiTheme="minorHAnsi" w:cstheme="minorHAnsi"/>
                <w:vertAlign w:val="superscript"/>
              </w:rPr>
              <w:t>(1)</w:t>
            </w:r>
          </w:p>
        </w:tc>
        <w:tc>
          <w:tcPr>
            <w:tcW w:w="1990" w:type="dxa"/>
            <w:tcBorders>
              <w:top w:val="nil"/>
              <w:left w:val="nil"/>
              <w:bottom w:val="single" w:sz="4" w:space="0" w:color="00B0F0"/>
              <w:right w:val="nil"/>
            </w:tcBorders>
            <w:shd w:val="clear" w:color="auto" w:fill="auto"/>
            <w:noWrap/>
            <w:vAlign w:val="bottom"/>
          </w:tcPr>
          <w:p w14:paraId="6B407239" w14:textId="5EB5E3A2" w:rsidR="00AB5A93" w:rsidRPr="006C6B88" w:rsidRDefault="00AB5A93" w:rsidP="00AB5A93">
            <w:pPr>
              <w:spacing w:after="0"/>
              <w:jc w:val="center"/>
              <w:rPr>
                <w:rFonts w:cs="Calibri"/>
                <w:b/>
                <w:bCs/>
                <w:color w:val="000000"/>
                <w:lang w:val="en-GB"/>
              </w:rPr>
            </w:pPr>
            <w:r w:rsidRPr="00F22A35">
              <w:rPr>
                <w:rFonts w:cs="Calibri"/>
                <w:b/>
                <w:bCs/>
                <w:color w:val="000000"/>
              </w:rPr>
              <w:t>2.3</w:t>
            </w:r>
            <w:r w:rsidR="006C6B88">
              <w:rPr>
                <w:rFonts w:cs="Calibri"/>
                <w:b/>
                <w:bCs/>
                <w:color w:val="000000"/>
                <w:lang w:val="en-GB"/>
              </w:rPr>
              <w:t>x</w:t>
            </w:r>
          </w:p>
        </w:tc>
        <w:tc>
          <w:tcPr>
            <w:tcW w:w="1990" w:type="dxa"/>
            <w:tcBorders>
              <w:top w:val="nil"/>
              <w:left w:val="nil"/>
              <w:bottom w:val="single" w:sz="4" w:space="0" w:color="00B0F0"/>
              <w:right w:val="nil"/>
            </w:tcBorders>
            <w:vAlign w:val="bottom"/>
          </w:tcPr>
          <w:p w14:paraId="226AE40D" w14:textId="399074EE" w:rsidR="00AB5A93" w:rsidRPr="006C6B88" w:rsidRDefault="00C83B0D" w:rsidP="00AB5A93">
            <w:pPr>
              <w:spacing w:after="0"/>
              <w:jc w:val="center"/>
              <w:rPr>
                <w:rFonts w:cs="Calibri"/>
                <w:color w:val="000000"/>
                <w:lang w:val="en-GB"/>
              </w:rPr>
            </w:pPr>
            <w:r>
              <w:rPr>
                <w:rFonts w:cs="Calibri"/>
                <w:color w:val="000000"/>
                <w:lang w:val="en-GB"/>
              </w:rPr>
              <w:t>2.3</w:t>
            </w:r>
            <w:r w:rsidR="006C6B88">
              <w:rPr>
                <w:rFonts w:cs="Calibri"/>
                <w:color w:val="000000"/>
                <w:lang w:val="en-GB"/>
              </w:rPr>
              <w:t>x</w:t>
            </w:r>
          </w:p>
        </w:tc>
      </w:tr>
    </w:tbl>
    <w:p w14:paraId="21293A85" w14:textId="60A0129D" w:rsidR="00B67D5B" w:rsidRPr="00F22A35" w:rsidRDefault="00B67D5B" w:rsidP="00AB5A93">
      <w:pPr>
        <w:spacing w:before="240" w:after="120"/>
        <w:jc w:val="both"/>
        <w:rPr>
          <w:rFonts w:asciiTheme="minorHAnsi" w:eastAsia="Times New Roman" w:hAnsiTheme="minorHAnsi" w:cstheme="minorHAnsi"/>
        </w:rPr>
      </w:pPr>
      <w:r w:rsidRPr="00F22A35">
        <w:rPr>
          <w:rFonts w:asciiTheme="minorHAnsi" w:eastAsia="Times New Roman" w:hAnsiTheme="minorHAnsi" w:cstheme="minorHAnsi"/>
        </w:rPr>
        <w:t>Αναλυτικά:</w:t>
      </w:r>
    </w:p>
    <w:p w14:paraId="234538FF" w14:textId="435ED10E" w:rsidR="00AC33BA" w:rsidRPr="00F22A35" w:rsidRDefault="009F05A1" w:rsidP="00AB5A93">
      <w:pPr>
        <w:spacing w:before="240" w:after="120"/>
        <w:jc w:val="both"/>
        <w:rPr>
          <w:rFonts w:asciiTheme="minorHAnsi" w:eastAsia="Times New Roman" w:hAnsiTheme="minorHAnsi" w:cstheme="minorHAnsi"/>
        </w:rPr>
      </w:pPr>
      <w:r w:rsidRPr="00DE6331">
        <w:rPr>
          <w:rFonts w:asciiTheme="minorHAnsi" w:eastAsia="Times New Roman" w:hAnsiTheme="minorHAnsi" w:cstheme="minorHAnsi"/>
          <w:b/>
          <w:bCs/>
        </w:rPr>
        <w:t xml:space="preserve">Τα συνολικά έσοδα του </w:t>
      </w:r>
      <w:r w:rsidR="003C59FA" w:rsidRPr="00DE6331">
        <w:rPr>
          <w:rFonts w:asciiTheme="minorHAnsi" w:eastAsia="Times New Roman" w:hAnsiTheme="minorHAnsi" w:cstheme="minorHAnsi"/>
          <w:b/>
          <w:bCs/>
        </w:rPr>
        <w:t>Ομίλου</w:t>
      </w:r>
      <w:r w:rsidRPr="00DE6331">
        <w:rPr>
          <w:rFonts w:asciiTheme="minorHAnsi" w:eastAsia="Times New Roman" w:hAnsiTheme="minorHAnsi" w:cstheme="minorHAnsi"/>
          <w:b/>
          <w:bCs/>
        </w:rPr>
        <w:t xml:space="preserve"> </w:t>
      </w:r>
      <w:r w:rsidR="00DE6331">
        <w:rPr>
          <w:rFonts w:asciiTheme="minorHAnsi" w:eastAsia="Times New Roman" w:hAnsiTheme="minorHAnsi" w:cstheme="minorHAnsi"/>
          <w:b/>
          <w:bCs/>
        </w:rPr>
        <w:t xml:space="preserve">κατά </w:t>
      </w:r>
      <w:r w:rsidR="00336072" w:rsidRPr="00DE6331">
        <w:rPr>
          <w:rFonts w:asciiTheme="minorHAnsi" w:eastAsia="Times New Roman" w:hAnsiTheme="minorHAnsi" w:cstheme="minorHAnsi"/>
          <w:b/>
          <w:bCs/>
        </w:rPr>
        <w:t xml:space="preserve">το </w:t>
      </w:r>
      <w:r w:rsidR="00007D50">
        <w:rPr>
          <w:rFonts w:asciiTheme="minorHAnsi" w:eastAsia="Times New Roman" w:hAnsiTheme="minorHAnsi" w:cstheme="minorHAnsi"/>
          <w:b/>
          <w:bCs/>
        </w:rPr>
        <w:t xml:space="preserve">πρώτο τρίμηνο του τρέχοντος έτους </w:t>
      </w:r>
      <w:r w:rsidRPr="00DE6331">
        <w:rPr>
          <w:rFonts w:asciiTheme="minorHAnsi" w:eastAsia="Times New Roman" w:hAnsiTheme="minorHAnsi" w:cstheme="minorHAnsi"/>
          <w:b/>
          <w:bCs/>
        </w:rPr>
        <w:t xml:space="preserve">διαμορφώθηκαν σε </w:t>
      </w:r>
      <w:r w:rsidR="00AC33BA" w:rsidRPr="00DE6331">
        <w:rPr>
          <w:rFonts w:asciiTheme="minorHAnsi" w:eastAsia="Times New Roman" w:hAnsiTheme="minorHAnsi" w:cstheme="minorHAnsi"/>
          <w:b/>
          <w:bCs/>
        </w:rPr>
        <w:t xml:space="preserve">€ </w:t>
      </w:r>
      <w:r w:rsidR="00007D50">
        <w:rPr>
          <w:rFonts w:cs="Calibri"/>
          <w:b/>
          <w:bCs/>
        </w:rPr>
        <w:t>8</w:t>
      </w:r>
      <w:r w:rsidR="001C5287">
        <w:rPr>
          <w:rFonts w:cs="Calibri"/>
          <w:b/>
          <w:bCs/>
        </w:rPr>
        <w:t>19</w:t>
      </w:r>
      <w:r w:rsidR="00007D50">
        <w:rPr>
          <w:rFonts w:cs="Calibri"/>
          <w:b/>
          <w:bCs/>
        </w:rPr>
        <w:t>,</w:t>
      </w:r>
      <w:r w:rsidR="001C5287">
        <w:rPr>
          <w:rFonts w:cs="Calibri"/>
          <w:b/>
          <w:bCs/>
        </w:rPr>
        <w:t>7</w:t>
      </w:r>
      <w:r w:rsidR="00DE6331" w:rsidRPr="00DE6331">
        <w:rPr>
          <w:rFonts w:cs="Calibri"/>
          <w:b/>
          <w:bCs/>
        </w:rPr>
        <w:t xml:space="preserve"> εκ</w:t>
      </w:r>
      <w:r w:rsidR="00DF54BC">
        <w:rPr>
          <w:rFonts w:cs="Calibri"/>
          <w:b/>
          <w:bCs/>
        </w:rPr>
        <w:t>ατ</w:t>
      </w:r>
      <w:r w:rsidR="00DE6331" w:rsidRPr="00DE6331">
        <w:rPr>
          <w:rFonts w:cs="Calibri"/>
          <w:b/>
          <w:bCs/>
        </w:rPr>
        <w:t xml:space="preserve">. έναντι </w:t>
      </w:r>
      <w:bookmarkStart w:id="1" w:name="BIP_SEL020"/>
      <w:r w:rsidR="00DE6331" w:rsidRPr="00DE6331">
        <w:rPr>
          <w:rFonts w:asciiTheme="minorHAnsi" w:eastAsia="Times New Roman" w:hAnsiTheme="minorHAnsi" w:cstheme="minorHAnsi"/>
          <w:b/>
          <w:bCs/>
        </w:rPr>
        <w:t>€</w:t>
      </w:r>
      <w:r w:rsidR="00DE6331">
        <w:rPr>
          <w:rFonts w:asciiTheme="minorHAnsi" w:eastAsia="Times New Roman" w:hAnsiTheme="minorHAnsi" w:cstheme="minorHAnsi"/>
          <w:b/>
          <w:bCs/>
        </w:rPr>
        <w:t xml:space="preserve"> </w:t>
      </w:r>
      <w:bookmarkEnd w:id="1"/>
      <w:r w:rsidR="00007D50">
        <w:rPr>
          <w:rFonts w:cs="Calibri"/>
          <w:b/>
          <w:bCs/>
        </w:rPr>
        <w:t>634,0</w:t>
      </w:r>
      <w:r w:rsidR="00DE6331" w:rsidRPr="00DE6331">
        <w:rPr>
          <w:rFonts w:cs="Calibri"/>
          <w:b/>
          <w:bCs/>
        </w:rPr>
        <w:t xml:space="preserve"> εκ. την αντίστοιχη περίοδο του </w:t>
      </w:r>
      <w:bookmarkStart w:id="2" w:name="BIP_SEL013"/>
      <w:r w:rsidR="00DE6331" w:rsidRPr="00DE6331">
        <w:rPr>
          <w:rFonts w:cs="Calibri"/>
          <w:b/>
          <w:bCs/>
        </w:rPr>
        <w:t>202</w:t>
      </w:r>
      <w:bookmarkEnd w:id="2"/>
      <w:r w:rsidR="00007D50">
        <w:rPr>
          <w:rFonts w:cs="Calibri"/>
          <w:b/>
          <w:bCs/>
        </w:rPr>
        <w:t>2</w:t>
      </w:r>
      <w:r w:rsidR="00890BF8">
        <w:rPr>
          <w:rFonts w:cs="Calibri"/>
          <w:b/>
          <w:bCs/>
        </w:rPr>
        <w:t xml:space="preserve"> </w:t>
      </w:r>
      <w:r w:rsidR="00781003">
        <w:rPr>
          <w:rFonts w:cs="Calibri"/>
          <w:b/>
          <w:bCs/>
        </w:rPr>
        <w:t xml:space="preserve">κυρίως </w:t>
      </w:r>
      <w:r w:rsidR="00707124">
        <w:rPr>
          <w:rFonts w:asciiTheme="minorHAnsi" w:hAnsiTheme="minorHAnsi" w:cstheme="minorHAnsi"/>
          <w:b/>
          <w:bCs/>
        </w:rPr>
        <w:t>λόγω</w:t>
      </w:r>
      <w:r w:rsidR="00781003">
        <w:rPr>
          <w:rFonts w:asciiTheme="minorHAnsi" w:hAnsiTheme="minorHAnsi" w:cstheme="minorHAnsi"/>
          <w:b/>
          <w:bCs/>
        </w:rPr>
        <w:t xml:space="preserve"> αυξημένων εσόδων στην κατασκευή</w:t>
      </w:r>
      <w:r w:rsidR="00AC33BA" w:rsidRPr="00F22A35">
        <w:rPr>
          <w:rFonts w:asciiTheme="minorHAnsi" w:eastAsia="Times New Roman" w:hAnsiTheme="minorHAnsi" w:cstheme="minorHAnsi"/>
        </w:rPr>
        <w:t>.</w:t>
      </w:r>
      <w:r w:rsidR="00FF2D01" w:rsidRPr="00F22A35">
        <w:rPr>
          <w:rFonts w:asciiTheme="minorHAnsi" w:eastAsia="Times New Roman" w:hAnsiTheme="minorHAnsi" w:cstheme="minorHAnsi"/>
        </w:rPr>
        <w:t xml:space="preserve"> Συγκριμένα</w:t>
      </w:r>
      <w:r w:rsidRPr="00F22A35">
        <w:rPr>
          <w:rFonts w:asciiTheme="minorHAnsi" w:eastAsia="Times New Roman" w:hAnsiTheme="minorHAnsi" w:cstheme="minorHAnsi"/>
        </w:rPr>
        <w:t xml:space="preserve">: </w:t>
      </w:r>
    </w:p>
    <w:p w14:paraId="39B554DD" w14:textId="711E4143" w:rsidR="009B257D" w:rsidRPr="00F22A35" w:rsidRDefault="009F05A1"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Τα έσοδα του κατασκευαστικού τομέα</w:t>
      </w:r>
      <w:r w:rsidR="00FA55B5" w:rsidRPr="00F22A35">
        <w:rPr>
          <w:rFonts w:asciiTheme="minorHAnsi" w:hAnsiTheme="minorHAnsi" w:cstheme="minorHAnsi"/>
          <w:sz w:val="22"/>
          <w:szCs w:val="22"/>
        </w:rPr>
        <w:t xml:space="preserve"> αυξήθηκαν στα</w:t>
      </w:r>
      <w:r w:rsidR="00AC33BA" w:rsidRPr="00F22A35">
        <w:rPr>
          <w:rFonts w:asciiTheme="minorHAnsi" w:hAnsiTheme="minorHAnsi" w:cstheme="minorHAnsi"/>
          <w:sz w:val="22"/>
          <w:szCs w:val="22"/>
        </w:rPr>
        <w:t xml:space="preserve"> € </w:t>
      </w:r>
      <w:r w:rsidR="00781003">
        <w:rPr>
          <w:rFonts w:asciiTheme="minorHAnsi" w:hAnsiTheme="minorHAnsi" w:cstheme="minorHAnsi"/>
          <w:sz w:val="22"/>
          <w:szCs w:val="22"/>
        </w:rPr>
        <w:t>297</w:t>
      </w:r>
      <w:r w:rsidR="00DE6331">
        <w:rPr>
          <w:rFonts w:asciiTheme="minorHAnsi" w:hAnsiTheme="minorHAnsi" w:cstheme="minorHAnsi"/>
          <w:sz w:val="22"/>
          <w:szCs w:val="22"/>
        </w:rPr>
        <w:t>,</w:t>
      </w:r>
      <w:r w:rsidR="00781003">
        <w:rPr>
          <w:rFonts w:asciiTheme="minorHAnsi" w:hAnsiTheme="minorHAnsi" w:cstheme="minorHAnsi"/>
          <w:sz w:val="22"/>
          <w:szCs w:val="22"/>
        </w:rPr>
        <w:t>5</w:t>
      </w:r>
      <w:r w:rsidR="00FA55B5" w:rsidRPr="00F22A35">
        <w:rPr>
          <w:rFonts w:asciiTheme="minorHAnsi" w:hAnsiTheme="minorHAnsi" w:cstheme="minorHAnsi"/>
          <w:sz w:val="22"/>
          <w:szCs w:val="22"/>
        </w:rPr>
        <w:t xml:space="preserve"> εκ.</w:t>
      </w:r>
      <w:r w:rsidR="00DE6331">
        <w:rPr>
          <w:rFonts w:asciiTheme="minorHAnsi" w:hAnsiTheme="minorHAnsi" w:cstheme="minorHAnsi"/>
          <w:sz w:val="22"/>
          <w:szCs w:val="22"/>
        </w:rPr>
        <w:t xml:space="preserve"> </w:t>
      </w:r>
      <w:r w:rsidR="00F47137" w:rsidRPr="00F22A35">
        <w:rPr>
          <w:rFonts w:asciiTheme="minorHAnsi" w:hAnsiTheme="minorHAnsi" w:cstheme="minorHAnsi"/>
          <w:sz w:val="22"/>
          <w:szCs w:val="22"/>
        </w:rPr>
        <w:t xml:space="preserve">έναντι € </w:t>
      </w:r>
      <w:r w:rsidR="00781003">
        <w:rPr>
          <w:rFonts w:asciiTheme="minorHAnsi" w:hAnsiTheme="minorHAnsi" w:cstheme="minorHAnsi"/>
          <w:sz w:val="22"/>
          <w:szCs w:val="22"/>
        </w:rPr>
        <w:t>150,6</w:t>
      </w:r>
      <w:r w:rsidR="00F47137" w:rsidRPr="00F22A35">
        <w:rPr>
          <w:rFonts w:asciiTheme="minorHAnsi" w:hAnsiTheme="minorHAnsi" w:cstheme="minorHAnsi"/>
          <w:sz w:val="22"/>
          <w:szCs w:val="22"/>
        </w:rPr>
        <w:t xml:space="preserve"> εκ</w:t>
      </w:r>
      <w:r w:rsidR="00B70D6D" w:rsidRPr="00F22A35">
        <w:rPr>
          <w:rFonts w:asciiTheme="minorHAnsi" w:hAnsiTheme="minorHAnsi" w:cstheme="minorHAnsi"/>
          <w:sz w:val="22"/>
          <w:szCs w:val="22"/>
        </w:rPr>
        <w:t>.</w:t>
      </w:r>
      <w:r w:rsidR="00DE6331">
        <w:rPr>
          <w:rFonts w:asciiTheme="minorHAnsi" w:hAnsiTheme="minorHAnsi" w:cstheme="minorHAnsi"/>
          <w:sz w:val="22"/>
          <w:szCs w:val="22"/>
        </w:rPr>
        <w:t xml:space="preserve"> </w:t>
      </w:r>
      <w:r w:rsidR="00F47137" w:rsidRPr="00F22A35">
        <w:rPr>
          <w:rFonts w:asciiTheme="minorHAnsi" w:hAnsiTheme="minorHAnsi" w:cstheme="minorHAnsi"/>
          <w:sz w:val="22"/>
          <w:szCs w:val="22"/>
        </w:rPr>
        <w:t xml:space="preserve">την </w:t>
      </w:r>
      <w:r w:rsidR="00707124">
        <w:rPr>
          <w:rFonts w:asciiTheme="minorHAnsi" w:hAnsiTheme="minorHAnsi" w:cstheme="minorHAnsi"/>
          <w:sz w:val="22"/>
          <w:szCs w:val="22"/>
        </w:rPr>
        <w:t xml:space="preserve">αντίστοιχη </w:t>
      </w:r>
      <w:r w:rsidR="00F47137" w:rsidRPr="00F22A35">
        <w:rPr>
          <w:rFonts w:asciiTheme="minorHAnsi" w:hAnsiTheme="minorHAnsi" w:cstheme="minorHAnsi"/>
          <w:sz w:val="22"/>
          <w:szCs w:val="22"/>
        </w:rPr>
        <w:t>περίοδο του 202</w:t>
      </w:r>
      <w:r w:rsidR="00781003">
        <w:rPr>
          <w:rFonts w:asciiTheme="minorHAnsi" w:hAnsiTheme="minorHAnsi" w:cstheme="minorHAnsi"/>
          <w:sz w:val="22"/>
          <w:szCs w:val="22"/>
        </w:rPr>
        <w:t>2</w:t>
      </w:r>
      <w:r w:rsidR="00893206" w:rsidRPr="00F22A35">
        <w:rPr>
          <w:rFonts w:asciiTheme="minorHAnsi" w:hAnsiTheme="minorHAnsi" w:cstheme="minorHAnsi"/>
          <w:sz w:val="22"/>
          <w:szCs w:val="22"/>
        </w:rPr>
        <w:t>,</w:t>
      </w:r>
      <w:r w:rsidR="004F3C92" w:rsidRPr="00F22A35">
        <w:rPr>
          <w:rFonts w:asciiTheme="minorHAnsi" w:hAnsiTheme="minorHAnsi" w:cstheme="minorHAnsi"/>
          <w:sz w:val="22"/>
          <w:szCs w:val="22"/>
        </w:rPr>
        <w:t xml:space="preserve"> </w:t>
      </w:r>
      <w:r w:rsidR="00E55265">
        <w:rPr>
          <w:rFonts w:asciiTheme="minorHAnsi" w:hAnsiTheme="minorHAnsi" w:cstheme="minorHAnsi"/>
          <w:sz w:val="22"/>
          <w:szCs w:val="22"/>
        </w:rPr>
        <w:t>σε συνέχεια</w:t>
      </w:r>
      <w:r w:rsidR="004F3C92" w:rsidRPr="00F22A35">
        <w:rPr>
          <w:rFonts w:asciiTheme="minorHAnsi" w:hAnsiTheme="minorHAnsi" w:cstheme="minorHAnsi"/>
          <w:sz w:val="22"/>
          <w:szCs w:val="22"/>
        </w:rPr>
        <w:t xml:space="preserve"> της </w:t>
      </w:r>
      <w:r w:rsidR="00457D59">
        <w:rPr>
          <w:rFonts w:asciiTheme="minorHAnsi" w:hAnsiTheme="minorHAnsi" w:cstheme="minorHAnsi"/>
          <w:sz w:val="22"/>
          <w:szCs w:val="22"/>
        </w:rPr>
        <w:t xml:space="preserve">ικανότητας του Ομίλου να ανταποκριθεί στην </w:t>
      </w:r>
      <w:r w:rsidR="004F3C92" w:rsidRPr="00F22A35">
        <w:rPr>
          <w:rFonts w:asciiTheme="minorHAnsi" w:hAnsiTheme="minorHAnsi" w:cstheme="minorHAnsi"/>
          <w:sz w:val="22"/>
          <w:szCs w:val="22"/>
        </w:rPr>
        <w:t>α</w:t>
      </w:r>
      <w:r w:rsidR="00781003">
        <w:rPr>
          <w:rFonts w:asciiTheme="minorHAnsi" w:hAnsiTheme="minorHAnsi" w:cstheme="minorHAnsi"/>
          <w:sz w:val="22"/>
          <w:szCs w:val="22"/>
        </w:rPr>
        <w:t>υ</w:t>
      </w:r>
      <w:r w:rsidR="004F3C92" w:rsidRPr="00F22A35">
        <w:rPr>
          <w:rFonts w:asciiTheme="minorHAnsi" w:hAnsiTheme="minorHAnsi" w:cstheme="minorHAnsi"/>
          <w:sz w:val="22"/>
          <w:szCs w:val="22"/>
        </w:rPr>
        <w:t>ξη</w:t>
      </w:r>
      <w:r w:rsidR="00781003">
        <w:rPr>
          <w:rFonts w:asciiTheme="minorHAnsi" w:hAnsiTheme="minorHAnsi" w:cstheme="minorHAnsi"/>
          <w:sz w:val="22"/>
          <w:szCs w:val="22"/>
        </w:rPr>
        <w:t xml:space="preserve">μένη </w:t>
      </w:r>
      <w:r w:rsidR="004F3C92" w:rsidRPr="00F22A35">
        <w:rPr>
          <w:rFonts w:asciiTheme="minorHAnsi" w:hAnsiTheme="minorHAnsi" w:cstheme="minorHAnsi"/>
          <w:sz w:val="22"/>
          <w:szCs w:val="22"/>
        </w:rPr>
        <w:t>κατασκευαστική δραστηριότητα</w:t>
      </w:r>
      <w:r w:rsidR="00781003">
        <w:rPr>
          <w:rFonts w:asciiTheme="minorHAnsi" w:hAnsiTheme="minorHAnsi" w:cstheme="minorHAnsi"/>
          <w:sz w:val="22"/>
          <w:szCs w:val="22"/>
        </w:rPr>
        <w:t xml:space="preserve"> στην Ελλάδα</w:t>
      </w:r>
      <w:r w:rsidR="00457D59">
        <w:rPr>
          <w:rFonts w:asciiTheme="minorHAnsi" w:hAnsiTheme="minorHAnsi" w:cstheme="minorHAnsi"/>
          <w:sz w:val="22"/>
          <w:szCs w:val="22"/>
        </w:rPr>
        <w:t xml:space="preserve"> και να εξασφαλίσει την απρόσκοπτη εκτέλεση των έργων</w:t>
      </w:r>
      <w:r w:rsidR="00C92232" w:rsidRPr="00F22A35">
        <w:rPr>
          <w:rFonts w:asciiTheme="minorHAnsi" w:hAnsiTheme="minorHAnsi" w:cstheme="minorHAnsi"/>
          <w:sz w:val="22"/>
          <w:szCs w:val="22"/>
        </w:rPr>
        <w:t>.</w:t>
      </w:r>
    </w:p>
    <w:p w14:paraId="7E4AD62E" w14:textId="002438B5" w:rsidR="00B67D5B" w:rsidRPr="00F22A35" w:rsidRDefault="00FA55B5"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Ο τομέας των παραχωρήσεων είχε έσοδα </w:t>
      </w:r>
      <w:r w:rsidR="009B257D" w:rsidRPr="00F22A35">
        <w:rPr>
          <w:rFonts w:asciiTheme="minorHAnsi" w:hAnsiTheme="minorHAnsi" w:cstheme="minorHAnsi"/>
          <w:sz w:val="22"/>
          <w:szCs w:val="22"/>
        </w:rPr>
        <w:t xml:space="preserve">€ </w:t>
      </w:r>
      <w:r w:rsidR="00781003">
        <w:rPr>
          <w:rFonts w:asciiTheme="minorHAnsi" w:hAnsiTheme="minorHAnsi" w:cstheme="minorHAnsi"/>
          <w:sz w:val="22"/>
          <w:szCs w:val="22"/>
        </w:rPr>
        <w:t>48,</w:t>
      </w:r>
      <w:r w:rsidR="001C5287">
        <w:rPr>
          <w:rFonts w:asciiTheme="minorHAnsi" w:hAnsiTheme="minorHAnsi" w:cstheme="minorHAnsi"/>
          <w:sz w:val="22"/>
          <w:szCs w:val="22"/>
        </w:rPr>
        <w:t>1</w:t>
      </w:r>
      <w:r w:rsidRPr="00F22A35">
        <w:rPr>
          <w:rFonts w:asciiTheme="minorHAnsi" w:hAnsiTheme="minorHAnsi" w:cstheme="minorHAnsi"/>
          <w:sz w:val="22"/>
          <w:szCs w:val="22"/>
        </w:rPr>
        <w:t xml:space="preserve"> εκ.</w:t>
      </w:r>
      <w:r w:rsidR="00DE6331">
        <w:rPr>
          <w:rFonts w:asciiTheme="minorHAnsi" w:hAnsiTheme="minorHAnsi" w:cstheme="minorHAnsi"/>
          <w:sz w:val="22"/>
          <w:szCs w:val="22"/>
        </w:rPr>
        <w:t xml:space="preserve"> </w:t>
      </w:r>
      <w:r w:rsidRPr="00F22A35">
        <w:rPr>
          <w:rFonts w:asciiTheme="minorHAnsi" w:hAnsiTheme="minorHAnsi" w:cstheme="minorHAnsi"/>
          <w:sz w:val="22"/>
          <w:szCs w:val="22"/>
        </w:rPr>
        <w:t>έναντι</w:t>
      </w:r>
      <w:r w:rsidR="007740D4" w:rsidRPr="00F22A35">
        <w:rPr>
          <w:rFonts w:asciiTheme="minorHAnsi" w:hAnsiTheme="minorHAnsi" w:cstheme="minorHAnsi"/>
          <w:sz w:val="22"/>
          <w:szCs w:val="22"/>
        </w:rPr>
        <w:t xml:space="preserve"> €</w:t>
      </w:r>
      <w:r w:rsidRPr="00F22A35">
        <w:rPr>
          <w:rFonts w:asciiTheme="minorHAnsi" w:hAnsiTheme="minorHAnsi" w:cstheme="minorHAnsi"/>
          <w:sz w:val="22"/>
          <w:szCs w:val="22"/>
        </w:rPr>
        <w:t xml:space="preserve"> </w:t>
      </w:r>
      <w:r w:rsidR="00781003">
        <w:rPr>
          <w:rFonts w:asciiTheme="minorHAnsi" w:hAnsiTheme="minorHAnsi" w:cstheme="minorHAnsi"/>
          <w:sz w:val="22"/>
          <w:szCs w:val="22"/>
        </w:rPr>
        <w:t>41,2</w:t>
      </w:r>
      <w:r w:rsidR="007740D4" w:rsidRPr="00F22A35">
        <w:rPr>
          <w:rFonts w:asciiTheme="minorHAnsi" w:hAnsiTheme="minorHAnsi" w:cstheme="minorHAnsi"/>
          <w:sz w:val="22"/>
          <w:szCs w:val="22"/>
        </w:rPr>
        <w:t xml:space="preserve"> </w:t>
      </w:r>
      <w:r w:rsidRPr="00F22A35">
        <w:rPr>
          <w:rFonts w:asciiTheme="minorHAnsi" w:hAnsiTheme="minorHAnsi" w:cstheme="minorHAnsi"/>
          <w:sz w:val="22"/>
          <w:szCs w:val="22"/>
        </w:rPr>
        <w:t>εκ. την αντίστοιχη περίοδο του 202</w:t>
      </w:r>
      <w:r w:rsidR="00781003">
        <w:rPr>
          <w:rFonts w:asciiTheme="minorHAnsi" w:hAnsiTheme="minorHAnsi" w:cstheme="minorHAnsi"/>
          <w:sz w:val="22"/>
          <w:szCs w:val="22"/>
        </w:rPr>
        <w:t>2</w:t>
      </w:r>
      <w:r w:rsidR="00CC2D87" w:rsidRPr="00F22A35">
        <w:rPr>
          <w:rFonts w:asciiTheme="minorHAnsi" w:hAnsiTheme="minorHAnsi" w:cstheme="minorHAnsi"/>
          <w:sz w:val="22"/>
          <w:szCs w:val="22"/>
        </w:rPr>
        <w:t>,</w:t>
      </w:r>
      <w:r w:rsidRPr="00F22A35">
        <w:rPr>
          <w:rFonts w:asciiTheme="minorHAnsi" w:hAnsiTheme="minorHAnsi" w:cstheme="minorHAnsi"/>
          <w:sz w:val="22"/>
          <w:szCs w:val="22"/>
        </w:rPr>
        <w:t xml:space="preserve"> </w:t>
      </w:r>
      <w:r w:rsidR="00781003">
        <w:rPr>
          <w:rFonts w:asciiTheme="minorHAnsi" w:hAnsiTheme="minorHAnsi" w:cstheme="minorHAnsi"/>
          <w:sz w:val="22"/>
          <w:szCs w:val="22"/>
        </w:rPr>
        <w:t>σε συνέχεια της αύξησης της κίνησης στην Νέα και Κεντρική Οδό</w:t>
      </w:r>
      <w:r w:rsidR="00B82B05">
        <w:rPr>
          <w:rFonts w:asciiTheme="minorHAnsi" w:hAnsiTheme="minorHAnsi" w:cstheme="minorHAnsi"/>
          <w:sz w:val="22"/>
          <w:szCs w:val="22"/>
        </w:rPr>
        <w:t xml:space="preserve"> αλλά και της έναρξης λειτουργίας της μονάδας διαχείρισης απο</w:t>
      </w:r>
      <w:r w:rsidR="00DA639E">
        <w:rPr>
          <w:rFonts w:asciiTheme="minorHAnsi" w:hAnsiTheme="minorHAnsi" w:cstheme="minorHAnsi"/>
          <w:sz w:val="22"/>
          <w:szCs w:val="22"/>
        </w:rPr>
        <w:t>ρ</w:t>
      </w:r>
      <w:r w:rsidR="00B82B05">
        <w:rPr>
          <w:rFonts w:asciiTheme="minorHAnsi" w:hAnsiTheme="minorHAnsi" w:cstheme="minorHAnsi"/>
          <w:sz w:val="22"/>
          <w:szCs w:val="22"/>
        </w:rPr>
        <w:t>ρι</w:t>
      </w:r>
      <w:r w:rsidR="00DA639E">
        <w:rPr>
          <w:rFonts w:asciiTheme="minorHAnsi" w:hAnsiTheme="minorHAnsi" w:cstheme="minorHAnsi"/>
          <w:sz w:val="22"/>
          <w:szCs w:val="22"/>
        </w:rPr>
        <w:t>μ</w:t>
      </w:r>
      <w:r w:rsidR="00B82B05">
        <w:rPr>
          <w:rFonts w:asciiTheme="minorHAnsi" w:hAnsiTheme="minorHAnsi" w:cstheme="minorHAnsi"/>
          <w:sz w:val="22"/>
          <w:szCs w:val="22"/>
        </w:rPr>
        <w:t xml:space="preserve">μάτων στην Πελοπόννησο. </w:t>
      </w:r>
      <w:r w:rsidR="00555524">
        <w:rPr>
          <w:rFonts w:asciiTheme="minorHAnsi" w:hAnsiTheme="minorHAnsi" w:cstheme="minorHAnsi"/>
          <w:sz w:val="22"/>
          <w:szCs w:val="22"/>
        </w:rPr>
        <w:t xml:space="preserve"> </w:t>
      </w:r>
      <w:r w:rsidR="00781003">
        <w:rPr>
          <w:rFonts w:asciiTheme="minorHAnsi" w:hAnsiTheme="minorHAnsi" w:cstheme="minorHAnsi"/>
          <w:sz w:val="22"/>
          <w:szCs w:val="22"/>
        </w:rPr>
        <w:t xml:space="preserve"> </w:t>
      </w:r>
    </w:p>
    <w:p w14:paraId="20E76C37" w14:textId="75081606" w:rsidR="00D0125C" w:rsidRPr="00F22A35" w:rsidRDefault="005628DF" w:rsidP="00AB5A93">
      <w:pPr>
        <w:pStyle w:val="ListParagraph"/>
        <w:numPr>
          <w:ilvl w:val="0"/>
          <w:numId w:val="17"/>
        </w:numPr>
        <w:spacing w:line="276" w:lineRule="auto"/>
        <w:ind w:left="426" w:hanging="284"/>
        <w:rPr>
          <w:sz w:val="22"/>
          <w:szCs w:val="22"/>
        </w:rPr>
      </w:pPr>
      <w:r w:rsidRPr="00F22A35">
        <w:rPr>
          <w:rFonts w:asciiTheme="minorHAnsi" w:hAnsiTheme="minorHAnsi" w:cstheme="minorHAnsi"/>
          <w:sz w:val="22"/>
          <w:szCs w:val="22"/>
        </w:rPr>
        <w:t xml:space="preserve">Στον </w:t>
      </w:r>
      <w:r w:rsidR="006373AB" w:rsidRPr="00F22A35">
        <w:rPr>
          <w:rFonts w:asciiTheme="minorHAnsi" w:hAnsiTheme="minorHAnsi" w:cstheme="minorHAnsi"/>
          <w:sz w:val="22"/>
          <w:szCs w:val="22"/>
        </w:rPr>
        <w:t xml:space="preserve">τομέα παραγωγής και εμπορίας ενέργειας (ηλεκτρισμού και φυσικού αερίου) στην Ελλάδα και το </w:t>
      </w:r>
      <w:r w:rsidR="00CC2D87" w:rsidRPr="00F22A35">
        <w:rPr>
          <w:rFonts w:asciiTheme="minorHAnsi" w:hAnsiTheme="minorHAnsi" w:cstheme="minorHAnsi"/>
          <w:sz w:val="22"/>
          <w:szCs w:val="22"/>
        </w:rPr>
        <w:t>ε</w:t>
      </w:r>
      <w:r w:rsidR="006373AB" w:rsidRPr="00F22A35">
        <w:rPr>
          <w:rFonts w:asciiTheme="minorHAnsi" w:hAnsiTheme="minorHAnsi" w:cstheme="minorHAnsi"/>
          <w:sz w:val="22"/>
          <w:szCs w:val="22"/>
        </w:rPr>
        <w:t>ξωτερικό</w:t>
      </w:r>
      <w:r w:rsidR="00CC2D87" w:rsidRPr="00F22A35">
        <w:rPr>
          <w:rFonts w:asciiTheme="minorHAnsi" w:hAnsiTheme="minorHAnsi" w:cstheme="minorHAnsi"/>
          <w:sz w:val="22"/>
          <w:szCs w:val="22"/>
        </w:rPr>
        <w:t>,</w:t>
      </w:r>
      <w:r w:rsidR="006373AB" w:rsidRPr="00F22A35">
        <w:rPr>
          <w:rFonts w:asciiTheme="minorHAnsi" w:hAnsiTheme="minorHAnsi" w:cstheme="minorHAnsi"/>
          <w:sz w:val="22"/>
          <w:szCs w:val="22"/>
        </w:rPr>
        <w:t xml:space="preserve"> </w:t>
      </w:r>
      <w:r w:rsidRPr="00F22A35">
        <w:rPr>
          <w:rFonts w:asciiTheme="minorHAnsi" w:hAnsiTheme="minorHAnsi" w:cstheme="minorHAnsi"/>
          <w:sz w:val="22"/>
          <w:szCs w:val="22"/>
        </w:rPr>
        <w:t xml:space="preserve">τα έσοδα από πωλήσεις ανήλθαν σε € </w:t>
      </w:r>
      <w:r w:rsidR="00781003" w:rsidRPr="00781003">
        <w:rPr>
          <w:rFonts w:asciiTheme="minorHAnsi" w:hAnsiTheme="minorHAnsi" w:cstheme="minorHAnsi"/>
          <w:sz w:val="22"/>
          <w:szCs w:val="22"/>
        </w:rPr>
        <w:t>4</w:t>
      </w:r>
      <w:r w:rsidR="001C5287">
        <w:rPr>
          <w:rFonts w:asciiTheme="minorHAnsi" w:hAnsiTheme="minorHAnsi" w:cstheme="minorHAnsi"/>
          <w:sz w:val="22"/>
          <w:szCs w:val="22"/>
        </w:rPr>
        <w:t>91</w:t>
      </w:r>
      <w:r w:rsidR="00781003" w:rsidRPr="00781003">
        <w:rPr>
          <w:rFonts w:asciiTheme="minorHAnsi" w:hAnsiTheme="minorHAnsi" w:cstheme="minorHAnsi"/>
          <w:sz w:val="22"/>
          <w:szCs w:val="22"/>
        </w:rPr>
        <w:t>,</w:t>
      </w:r>
      <w:r w:rsidR="001C5287">
        <w:rPr>
          <w:rFonts w:asciiTheme="minorHAnsi" w:hAnsiTheme="minorHAnsi" w:cstheme="minorHAnsi"/>
          <w:sz w:val="22"/>
          <w:szCs w:val="22"/>
        </w:rPr>
        <w:t>5</w:t>
      </w:r>
      <w:r w:rsidRPr="00F22A35">
        <w:rPr>
          <w:rFonts w:asciiTheme="minorHAnsi" w:hAnsiTheme="minorHAnsi" w:cstheme="minorHAnsi"/>
          <w:sz w:val="22"/>
          <w:szCs w:val="22"/>
        </w:rPr>
        <w:t xml:space="preserve"> εκ.</w:t>
      </w:r>
      <w:r w:rsidR="00DE6331">
        <w:rPr>
          <w:rFonts w:asciiTheme="minorHAnsi" w:hAnsiTheme="minorHAnsi" w:cstheme="minorHAnsi"/>
          <w:sz w:val="22"/>
          <w:szCs w:val="22"/>
        </w:rPr>
        <w:t xml:space="preserve"> </w:t>
      </w:r>
      <w:r w:rsidRPr="00F22A35">
        <w:rPr>
          <w:rFonts w:asciiTheme="minorHAnsi" w:hAnsiTheme="minorHAnsi" w:cstheme="minorHAnsi"/>
          <w:sz w:val="22"/>
          <w:szCs w:val="22"/>
        </w:rPr>
        <w:t xml:space="preserve">έναντι </w:t>
      </w:r>
      <w:r w:rsidR="00960C1C" w:rsidRPr="00F22A35">
        <w:rPr>
          <w:rFonts w:asciiTheme="minorHAnsi" w:hAnsiTheme="minorHAnsi" w:cstheme="minorHAnsi"/>
          <w:sz w:val="22"/>
          <w:szCs w:val="22"/>
        </w:rPr>
        <w:t xml:space="preserve">€ </w:t>
      </w:r>
      <w:r w:rsidR="00DE6331">
        <w:rPr>
          <w:rFonts w:asciiTheme="minorHAnsi" w:hAnsiTheme="minorHAnsi" w:cstheme="minorHAnsi"/>
          <w:sz w:val="22"/>
          <w:szCs w:val="22"/>
        </w:rPr>
        <w:t>47</w:t>
      </w:r>
      <w:r w:rsidR="00781003" w:rsidRPr="00781003">
        <w:rPr>
          <w:rFonts w:asciiTheme="minorHAnsi" w:hAnsiTheme="minorHAnsi" w:cstheme="minorHAnsi"/>
          <w:sz w:val="22"/>
          <w:szCs w:val="22"/>
        </w:rPr>
        <w:t>6</w:t>
      </w:r>
      <w:r w:rsidR="00CF684A">
        <w:rPr>
          <w:rFonts w:asciiTheme="minorHAnsi" w:hAnsiTheme="minorHAnsi" w:cstheme="minorHAnsi"/>
          <w:sz w:val="22"/>
          <w:szCs w:val="22"/>
        </w:rPr>
        <w:t>,</w:t>
      </w:r>
      <w:r w:rsidR="00781003" w:rsidRPr="00781003">
        <w:rPr>
          <w:rFonts w:asciiTheme="minorHAnsi" w:hAnsiTheme="minorHAnsi" w:cstheme="minorHAnsi"/>
          <w:sz w:val="22"/>
          <w:szCs w:val="22"/>
        </w:rPr>
        <w:t>2</w:t>
      </w:r>
      <w:r w:rsidRPr="00F22A35">
        <w:rPr>
          <w:rFonts w:asciiTheme="minorHAnsi" w:hAnsiTheme="minorHAnsi" w:cstheme="minorHAnsi"/>
          <w:sz w:val="22"/>
          <w:szCs w:val="22"/>
        </w:rPr>
        <w:t xml:space="preserve"> εκ</w:t>
      </w:r>
      <w:r w:rsidR="00B70D6D" w:rsidRPr="00F22A35">
        <w:rPr>
          <w:rFonts w:asciiTheme="minorHAnsi" w:hAnsiTheme="minorHAnsi" w:cstheme="minorHAnsi"/>
          <w:sz w:val="22"/>
          <w:szCs w:val="22"/>
        </w:rPr>
        <w:t>.</w:t>
      </w:r>
      <w:r w:rsidR="00DE6331">
        <w:rPr>
          <w:rFonts w:asciiTheme="minorHAnsi" w:hAnsiTheme="minorHAnsi" w:cstheme="minorHAnsi"/>
          <w:sz w:val="22"/>
          <w:szCs w:val="22"/>
        </w:rPr>
        <w:t xml:space="preserve"> </w:t>
      </w:r>
      <w:r w:rsidRPr="00F22A35">
        <w:rPr>
          <w:rFonts w:asciiTheme="minorHAnsi" w:hAnsiTheme="minorHAnsi" w:cstheme="minorHAnsi"/>
          <w:sz w:val="22"/>
          <w:szCs w:val="22"/>
        </w:rPr>
        <w:t>την</w:t>
      </w:r>
      <w:r w:rsidR="00DC17A0" w:rsidRPr="00F22A35">
        <w:rPr>
          <w:rFonts w:asciiTheme="minorHAnsi" w:hAnsiTheme="minorHAnsi" w:cstheme="minorHAnsi"/>
          <w:sz w:val="22"/>
          <w:szCs w:val="22"/>
        </w:rPr>
        <w:t xml:space="preserve"> αντίστοιχη περυσινή</w:t>
      </w:r>
      <w:r w:rsidRPr="00F22A35">
        <w:rPr>
          <w:rFonts w:asciiTheme="minorHAnsi" w:hAnsiTheme="minorHAnsi" w:cstheme="minorHAnsi"/>
          <w:sz w:val="22"/>
          <w:szCs w:val="22"/>
        </w:rPr>
        <w:t xml:space="preserve"> περίοδο</w:t>
      </w:r>
      <w:r w:rsidR="00B70D6D" w:rsidRPr="00F22A35">
        <w:rPr>
          <w:rFonts w:asciiTheme="minorHAnsi" w:hAnsiTheme="minorHAnsi" w:cstheme="minorHAnsi"/>
          <w:sz w:val="22"/>
          <w:szCs w:val="22"/>
        </w:rPr>
        <w:t>,</w:t>
      </w:r>
      <w:r w:rsidRPr="00F22A35">
        <w:rPr>
          <w:rFonts w:asciiTheme="minorHAnsi" w:hAnsiTheme="minorHAnsi" w:cstheme="minorHAnsi"/>
          <w:sz w:val="22"/>
          <w:szCs w:val="22"/>
        </w:rPr>
        <w:t xml:space="preserve"> </w:t>
      </w:r>
      <w:r w:rsidR="009D7ACE" w:rsidRPr="00F22A35">
        <w:rPr>
          <w:rFonts w:asciiTheme="minorHAnsi" w:hAnsiTheme="minorHAnsi" w:cstheme="minorHAnsi"/>
          <w:sz w:val="22"/>
          <w:szCs w:val="22"/>
        </w:rPr>
        <w:t>ως αποτέλεσμα</w:t>
      </w:r>
      <w:r w:rsidRPr="00F22A35">
        <w:rPr>
          <w:rFonts w:asciiTheme="minorHAnsi" w:hAnsiTheme="minorHAnsi" w:cstheme="minorHAnsi"/>
          <w:sz w:val="22"/>
          <w:szCs w:val="22"/>
        </w:rPr>
        <w:t xml:space="preserve"> </w:t>
      </w:r>
      <w:r w:rsidR="006F02D7" w:rsidRPr="00F22A35">
        <w:rPr>
          <w:rFonts w:asciiTheme="minorHAnsi" w:hAnsiTheme="minorHAnsi" w:cstheme="minorHAnsi"/>
          <w:sz w:val="22"/>
          <w:szCs w:val="22"/>
        </w:rPr>
        <w:t>της πλήρους ενοποίησης τ</w:t>
      </w:r>
      <w:r w:rsidR="00555524">
        <w:rPr>
          <w:rFonts w:asciiTheme="minorHAnsi" w:hAnsiTheme="minorHAnsi" w:cstheme="minorHAnsi"/>
          <w:sz w:val="22"/>
          <w:szCs w:val="22"/>
        </w:rPr>
        <w:t>ης</w:t>
      </w:r>
      <w:r w:rsidR="006F02D7" w:rsidRPr="00F22A35">
        <w:rPr>
          <w:rFonts w:asciiTheme="minorHAnsi" w:hAnsiTheme="minorHAnsi" w:cstheme="minorHAnsi"/>
          <w:sz w:val="22"/>
          <w:szCs w:val="22"/>
        </w:rPr>
        <w:t xml:space="preserve"> </w:t>
      </w:r>
      <w:r w:rsidR="00551301" w:rsidRPr="00F22A35">
        <w:rPr>
          <w:rFonts w:asciiTheme="minorHAnsi" w:hAnsiTheme="minorHAnsi" w:cstheme="minorHAnsi"/>
          <w:sz w:val="22"/>
          <w:szCs w:val="22"/>
        </w:rPr>
        <w:t>ΗΡΩΝ ΕΝΕΡΓΕΙΑΚΗ (από 14.02.2022)</w:t>
      </w:r>
      <w:r w:rsidR="00B70D6D" w:rsidRPr="00F22A35">
        <w:rPr>
          <w:rFonts w:asciiTheme="minorHAnsi" w:hAnsiTheme="minorHAnsi" w:cstheme="minorHAnsi"/>
          <w:sz w:val="22"/>
          <w:szCs w:val="22"/>
        </w:rPr>
        <w:t>.</w:t>
      </w:r>
    </w:p>
    <w:p w14:paraId="23CA79D0" w14:textId="77777777" w:rsidR="009028B7" w:rsidRPr="00F22A35" w:rsidRDefault="009028B7" w:rsidP="00AB5A93">
      <w:pPr>
        <w:pStyle w:val="ListParagraph"/>
        <w:spacing w:line="276" w:lineRule="auto"/>
        <w:ind w:left="426"/>
        <w:rPr>
          <w:rFonts w:asciiTheme="minorHAnsi" w:hAnsiTheme="minorHAnsi" w:cstheme="minorHAnsi"/>
          <w:b/>
          <w:bCs/>
          <w:sz w:val="22"/>
          <w:szCs w:val="22"/>
        </w:rPr>
      </w:pPr>
    </w:p>
    <w:p w14:paraId="3B835088" w14:textId="31C6FC5D" w:rsidR="008A2C73" w:rsidRPr="00F22A35" w:rsidRDefault="00893206" w:rsidP="00AB5A93">
      <w:pPr>
        <w:jc w:val="both"/>
        <w:rPr>
          <w:rFonts w:asciiTheme="minorHAnsi" w:eastAsia="Times New Roman" w:hAnsiTheme="minorHAnsi" w:cstheme="minorHAnsi"/>
        </w:rPr>
      </w:pPr>
      <w:r w:rsidRPr="00890BF8">
        <w:rPr>
          <w:rFonts w:asciiTheme="minorHAnsi" w:hAnsiTheme="minorHAnsi" w:cstheme="minorHAnsi"/>
          <w:b/>
          <w:bCs/>
        </w:rPr>
        <w:t xml:space="preserve">Η </w:t>
      </w:r>
      <w:r w:rsidR="004F3C92" w:rsidRPr="00890BF8">
        <w:rPr>
          <w:rFonts w:asciiTheme="minorHAnsi" w:hAnsiTheme="minorHAnsi" w:cstheme="minorHAnsi"/>
          <w:b/>
          <w:bCs/>
        </w:rPr>
        <w:t>λειτουργική κερδοφορία (</w:t>
      </w:r>
      <w:r w:rsidR="005B4D66" w:rsidRPr="00890BF8">
        <w:rPr>
          <w:rFonts w:asciiTheme="minorHAnsi" w:hAnsiTheme="minorHAnsi" w:cstheme="minorHAnsi"/>
          <w:b/>
          <w:bCs/>
        </w:rPr>
        <w:t xml:space="preserve">προσαρμοσμένο </w:t>
      </w:r>
      <w:r w:rsidR="003575B8" w:rsidRPr="00890BF8">
        <w:rPr>
          <w:rFonts w:asciiTheme="minorHAnsi" w:hAnsiTheme="minorHAnsi" w:cstheme="minorHAnsi"/>
          <w:b/>
          <w:bCs/>
          <w:lang w:val="en-US"/>
        </w:rPr>
        <w:t>EBITDA</w:t>
      </w:r>
      <w:r w:rsidR="004F3C92" w:rsidRPr="00890BF8">
        <w:rPr>
          <w:rFonts w:asciiTheme="minorHAnsi" w:hAnsiTheme="minorHAnsi" w:cstheme="minorHAnsi"/>
          <w:b/>
          <w:bCs/>
        </w:rPr>
        <w:t>)</w:t>
      </w:r>
      <w:r w:rsidR="00551301" w:rsidRPr="00890BF8">
        <w:rPr>
          <w:rFonts w:asciiTheme="minorHAnsi" w:hAnsiTheme="minorHAnsi" w:cstheme="minorHAnsi"/>
          <w:b/>
          <w:bCs/>
          <w:vertAlign w:val="superscript"/>
        </w:rPr>
        <w:t>1</w:t>
      </w:r>
      <w:r w:rsidR="00162F0B" w:rsidRPr="00890BF8">
        <w:rPr>
          <w:rFonts w:asciiTheme="minorHAnsi" w:hAnsiTheme="minorHAnsi" w:cstheme="minorHAnsi"/>
          <w:b/>
          <w:bCs/>
        </w:rPr>
        <w:t xml:space="preserve"> του </w:t>
      </w:r>
      <w:r w:rsidR="003C59FA" w:rsidRPr="00890BF8">
        <w:rPr>
          <w:rFonts w:asciiTheme="minorHAnsi" w:hAnsiTheme="minorHAnsi" w:cstheme="minorHAnsi"/>
          <w:b/>
          <w:bCs/>
        </w:rPr>
        <w:t>Ομίλου</w:t>
      </w:r>
      <w:r w:rsidR="00162F0B" w:rsidRPr="00890BF8">
        <w:rPr>
          <w:rFonts w:asciiTheme="minorHAnsi" w:hAnsiTheme="minorHAnsi" w:cstheme="minorHAnsi"/>
          <w:b/>
          <w:bCs/>
        </w:rPr>
        <w:t xml:space="preserve"> ανήλθε σε</w:t>
      </w:r>
      <w:r w:rsidR="003575B8" w:rsidRPr="00890BF8">
        <w:rPr>
          <w:rFonts w:asciiTheme="minorHAnsi" w:hAnsiTheme="minorHAnsi" w:cstheme="minorHAnsi"/>
          <w:b/>
          <w:bCs/>
        </w:rPr>
        <w:t xml:space="preserve"> € </w:t>
      </w:r>
      <w:r w:rsidR="00555524">
        <w:rPr>
          <w:rFonts w:asciiTheme="minorHAnsi" w:hAnsiTheme="minorHAnsi" w:cstheme="minorHAnsi"/>
          <w:b/>
          <w:bCs/>
        </w:rPr>
        <w:t>12</w:t>
      </w:r>
      <w:r w:rsidR="001C5287">
        <w:rPr>
          <w:rFonts w:asciiTheme="minorHAnsi" w:hAnsiTheme="minorHAnsi" w:cstheme="minorHAnsi"/>
          <w:b/>
          <w:bCs/>
        </w:rPr>
        <w:t>3</w:t>
      </w:r>
      <w:r w:rsidR="00E40323" w:rsidRPr="00890BF8">
        <w:rPr>
          <w:rFonts w:asciiTheme="minorHAnsi" w:hAnsiTheme="minorHAnsi" w:cstheme="minorHAnsi"/>
          <w:b/>
          <w:bCs/>
        </w:rPr>
        <w:t>,</w:t>
      </w:r>
      <w:r w:rsidR="001C5287">
        <w:rPr>
          <w:rFonts w:asciiTheme="minorHAnsi" w:hAnsiTheme="minorHAnsi" w:cstheme="minorHAnsi"/>
          <w:b/>
          <w:bCs/>
        </w:rPr>
        <w:t>6</w:t>
      </w:r>
      <w:r w:rsidR="00162F0B" w:rsidRPr="00890BF8">
        <w:rPr>
          <w:rFonts w:asciiTheme="minorHAnsi" w:hAnsiTheme="minorHAnsi" w:cstheme="minorHAnsi"/>
          <w:b/>
          <w:bCs/>
        </w:rPr>
        <w:t xml:space="preserve"> εκ. </w:t>
      </w:r>
      <w:r w:rsidR="004F3C92" w:rsidRPr="00890BF8">
        <w:rPr>
          <w:rFonts w:asciiTheme="minorHAnsi" w:hAnsiTheme="minorHAnsi" w:cstheme="minorHAnsi"/>
          <w:b/>
          <w:bCs/>
        </w:rPr>
        <w:t>έναντι €</w:t>
      </w:r>
      <w:r w:rsidR="00555524">
        <w:rPr>
          <w:rFonts w:asciiTheme="minorHAnsi" w:hAnsiTheme="minorHAnsi" w:cstheme="minorHAnsi"/>
          <w:b/>
          <w:bCs/>
        </w:rPr>
        <w:t xml:space="preserve"> 105,0</w:t>
      </w:r>
      <w:r w:rsidR="004F3C92" w:rsidRPr="00890BF8">
        <w:rPr>
          <w:rFonts w:asciiTheme="minorHAnsi" w:hAnsiTheme="minorHAnsi" w:cstheme="minorHAnsi"/>
          <w:b/>
          <w:bCs/>
        </w:rPr>
        <w:t xml:space="preserve"> εκ.</w:t>
      </w:r>
      <w:r w:rsidR="00162F0B" w:rsidRPr="00890BF8">
        <w:rPr>
          <w:rFonts w:asciiTheme="minorHAnsi" w:hAnsiTheme="minorHAnsi" w:cstheme="minorHAnsi"/>
          <w:b/>
          <w:bCs/>
        </w:rPr>
        <w:t xml:space="preserve"> το 202</w:t>
      </w:r>
      <w:r w:rsidR="00555524">
        <w:rPr>
          <w:rFonts w:asciiTheme="minorHAnsi" w:hAnsiTheme="minorHAnsi" w:cstheme="minorHAnsi"/>
          <w:b/>
          <w:bCs/>
        </w:rPr>
        <w:t>2</w:t>
      </w:r>
      <w:r w:rsidR="00890BF8">
        <w:rPr>
          <w:rFonts w:asciiTheme="minorHAnsi" w:hAnsiTheme="minorHAnsi" w:cstheme="minorHAnsi"/>
          <w:b/>
          <w:bCs/>
        </w:rPr>
        <w:t xml:space="preserve"> </w:t>
      </w:r>
      <w:r w:rsidR="00DA639E">
        <w:rPr>
          <w:rFonts w:asciiTheme="minorHAnsi" w:hAnsiTheme="minorHAnsi" w:cstheme="minorHAnsi"/>
          <w:b/>
          <w:bCs/>
        </w:rPr>
        <w:t>ως</w:t>
      </w:r>
      <w:r w:rsidR="00890BF8">
        <w:rPr>
          <w:rFonts w:asciiTheme="minorHAnsi" w:hAnsiTheme="minorHAnsi" w:cstheme="minorHAnsi"/>
          <w:b/>
          <w:bCs/>
        </w:rPr>
        <w:t xml:space="preserve"> αποτέλεσμα της αύξησης των εσόδων</w:t>
      </w:r>
      <w:r w:rsidR="003575B8" w:rsidRPr="00890BF8">
        <w:rPr>
          <w:rFonts w:asciiTheme="minorHAnsi" w:eastAsia="Times New Roman" w:hAnsiTheme="minorHAnsi" w:cstheme="minorHAnsi"/>
        </w:rPr>
        <w:t>.</w:t>
      </w:r>
      <w:r w:rsidR="00FE22E5" w:rsidRPr="00890BF8">
        <w:rPr>
          <w:rFonts w:asciiTheme="minorHAnsi" w:eastAsia="Times New Roman" w:hAnsiTheme="minorHAnsi" w:cstheme="minorHAnsi"/>
        </w:rPr>
        <w:t xml:space="preserve"> </w:t>
      </w:r>
      <w:r w:rsidR="00105849" w:rsidRPr="00890BF8">
        <w:rPr>
          <w:rFonts w:asciiTheme="minorHAnsi" w:eastAsia="Times New Roman" w:hAnsiTheme="minorHAnsi" w:cstheme="minorHAnsi"/>
        </w:rPr>
        <w:t>Συγκεκριμένα</w:t>
      </w:r>
      <w:r w:rsidR="00FE22E5" w:rsidRPr="00890BF8">
        <w:rPr>
          <w:rFonts w:asciiTheme="minorHAnsi" w:eastAsia="Times New Roman" w:hAnsiTheme="minorHAnsi" w:cstheme="minorHAnsi"/>
        </w:rPr>
        <w:t>:</w:t>
      </w:r>
    </w:p>
    <w:p w14:paraId="26F67AA9" w14:textId="6305B255" w:rsidR="00FE22E5" w:rsidRPr="00F22A35" w:rsidRDefault="00105849"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Στον τομέα </w:t>
      </w:r>
      <w:r w:rsidR="001A64E7" w:rsidRPr="00F22A35">
        <w:rPr>
          <w:rFonts w:asciiTheme="minorHAnsi" w:hAnsiTheme="minorHAnsi" w:cstheme="minorHAnsi"/>
          <w:sz w:val="22"/>
          <w:szCs w:val="22"/>
        </w:rPr>
        <w:t xml:space="preserve">της </w:t>
      </w:r>
      <w:r w:rsidRPr="00F22A35">
        <w:rPr>
          <w:rFonts w:asciiTheme="minorHAnsi" w:hAnsiTheme="minorHAnsi" w:cstheme="minorHAnsi"/>
          <w:sz w:val="22"/>
          <w:szCs w:val="22"/>
        </w:rPr>
        <w:t>κατασκευής</w:t>
      </w:r>
      <w:r w:rsidR="00DF54BC">
        <w:rPr>
          <w:rFonts w:asciiTheme="minorHAnsi" w:hAnsiTheme="minorHAnsi" w:cstheme="minorHAnsi"/>
          <w:sz w:val="22"/>
          <w:szCs w:val="22"/>
        </w:rPr>
        <w:t>,</w:t>
      </w:r>
      <w:r w:rsidRPr="00F22A35">
        <w:rPr>
          <w:rFonts w:asciiTheme="minorHAnsi" w:hAnsiTheme="minorHAnsi" w:cstheme="minorHAnsi"/>
          <w:sz w:val="22"/>
          <w:szCs w:val="22"/>
        </w:rPr>
        <w:t xml:space="preserve"> το </w:t>
      </w:r>
      <w:r w:rsidR="00B70D6D" w:rsidRPr="00F22A35">
        <w:rPr>
          <w:rFonts w:asciiTheme="minorHAnsi" w:hAnsiTheme="minorHAnsi" w:cstheme="minorHAnsi"/>
          <w:sz w:val="22"/>
          <w:szCs w:val="22"/>
        </w:rPr>
        <w:t>προσαρμοσμένο E</w:t>
      </w:r>
      <w:r w:rsidR="00FE22E5" w:rsidRPr="00F22A35">
        <w:rPr>
          <w:rFonts w:asciiTheme="minorHAnsi" w:hAnsiTheme="minorHAnsi" w:cstheme="minorHAnsi"/>
          <w:sz w:val="22"/>
          <w:szCs w:val="22"/>
        </w:rPr>
        <w:t xml:space="preserve">BITDA </w:t>
      </w:r>
      <w:r w:rsidRPr="00F22A35">
        <w:rPr>
          <w:rFonts w:asciiTheme="minorHAnsi" w:hAnsiTheme="minorHAnsi" w:cstheme="minorHAnsi"/>
          <w:sz w:val="22"/>
          <w:szCs w:val="22"/>
        </w:rPr>
        <w:t xml:space="preserve">ανήλθε σε </w:t>
      </w:r>
      <w:r w:rsidR="00FE22E5" w:rsidRPr="00F22A35">
        <w:rPr>
          <w:rFonts w:asciiTheme="minorHAnsi" w:hAnsiTheme="minorHAnsi" w:cstheme="minorHAnsi"/>
          <w:sz w:val="22"/>
          <w:szCs w:val="22"/>
        </w:rPr>
        <w:t xml:space="preserve">€ </w:t>
      </w:r>
      <w:r w:rsidR="00555524">
        <w:rPr>
          <w:rFonts w:asciiTheme="minorHAnsi" w:hAnsiTheme="minorHAnsi" w:cstheme="minorHAnsi"/>
          <w:sz w:val="22"/>
          <w:szCs w:val="22"/>
        </w:rPr>
        <w:t>34</w:t>
      </w:r>
      <w:r w:rsidR="007740D4" w:rsidRPr="00F22A35">
        <w:rPr>
          <w:rFonts w:asciiTheme="minorHAnsi" w:hAnsiTheme="minorHAnsi" w:cstheme="minorHAnsi"/>
          <w:sz w:val="22"/>
          <w:szCs w:val="22"/>
        </w:rPr>
        <w:t>,</w:t>
      </w:r>
      <w:r w:rsidR="00555524">
        <w:rPr>
          <w:rFonts w:asciiTheme="minorHAnsi" w:hAnsiTheme="minorHAnsi" w:cstheme="minorHAnsi"/>
          <w:sz w:val="22"/>
          <w:szCs w:val="22"/>
        </w:rPr>
        <w:t>0</w:t>
      </w:r>
      <w:r w:rsidR="00374E75" w:rsidRPr="00F22A35">
        <w:rPr>
          <w:rFonts w:asciiTheme="minorHAnsi" w:hAnsiTheme="minorHAnsi" w:cstheme="minorHAnsi"/>
          <w:sz w:val="22"/>
          <w:szCs w:val="22"/>
        </w:rPr>
        <w:t xml:space="preserve"> </w:t>
      </w:r>
      <w:r w:rsidRPr="00F22A35">
        <w:rPr>
          <w:rFonts w:asciiTheme="minorHAnsi" w:hAnsiTheme="minorHAnsi" w:cstheme="minorHAnsi"/>
          <w:sz w:val="22"/>
          <w:szCs w:val="22"/>
        </w:rPr>
        <w:t xml:space="preserve">εκ. έναντι </w:t>
      </w:r>
      <w:r w:rsidR="00DE6331">
        <w:rPr>
          <w:rFonts w:asciiTheme="minorHAnsi" w:hAnsiTheme="minorHAnsi" w:cstheme="minorHAnsi"/>
          <w:sz w:val="22"/>
          <w:szCs w:val="22"/>
        </w:rPr>
        <w:t>8</w:t>
      </w:r>
      <w:r w:rsidR="00555524">
        <w:rPr>
          <w:rFonts w:asciiTheme="minorHAnsi" w:hAnsiTheme="minorHAnsi" w:cstheme="minorHAnsi"/>
          <w:sz w:val="22"/>
          <w:szCs w:val="22"/>
        </w:rPr>
        <w:t>,3</w:t>
      </w:r>
      <w:r w:rsidRPr="00F22A35">
        <w:rPr>
          <w:rFonts w:asciiTheme="minorHAnsi" w:hAnsiTheme="minorHAnsi" w:cstheme="minorHAnsi"/>
          <w:sz w:val="22"/>
          <w:szCs w:val="22"/>
        </w:rPr>
        <w:t xml:space="preserve"> εκ</w:t>
      </w:r>
      <w:r w:rsidR="00B70D6D" w:rsidRPr="00F22A35">
        <w:rPr>
          <w:rFonts w:asciiTheme="minorHAnsi" w:hAnsiTheme="minorHAnsi" w:cstheme="minorHAnsi"/>
          <w:sz w:val="22"/>
          <w:szCs w:val="22"/>
        </w:rPr>
        <w:t>.</w:t>
      </w:r>
      <w:r w:rsidRPr="00F22A35">
        <w:rPr>
          <w:rFonts w:asciiTheme="minorHAnsi" w:hAnsiTheme="minorHAnsi" w:cstheme="minorHAnsi"/>
          <w:sz w:val="22"/>
          <w:szCs w:val="22"/>
        </w:rPr>
        <w:t xml:space="preserve"> την αντίστοιχη περίοδο του 202</w:t>
      </w:r>
      <w:r w:rsidR="00555524">
        <w:rPr>
          <w:rFonts w:asciiTheme="minorHAnsi" w:hAnsiTheme="minorHAnsi" w:cstheme="minorHAnsi"/>
          <w:sz w:val="22"/>
          <w:szCs w:val="22"/>
        </w:rPr>
        <w:t>2 λόγ</w:t>
      </w:r>
      <w:r w:rsidR="00DA639E">
        <w:rPr>
          <w:rFonts w:asciiTheme="minorHAnsi" w:hAnsiTheme="minorHAnsi" w:cstheme="minorHAnsi"/>
          <w:sz w:val="22"/>
          <w:szCs w:val="22"/>
        </w:rPr>
        <w:t>ω</w:t>
      </w:r>
      <w:r w:rsidR="00555524">
        <w:rPr>
          <w:rFonts w:asciiTheme="minorHAnsi" w:hAnsiTheme="minorHAnsi" w:cstheme="minorHAnsi"/>
          <w:sz w:val="22"/>
          <w:szCs w:val="22"/>
        </w:rPr>
        <w:t xml:space="preserve"> αυξημένων εσόδων και </w:t>
      </w:r>
      <w:r w:rsidR="001B3C8A">
        <w:rPr>
          <w:rFonts w:asciiTheme="minorHAnsi" w:hAnsiTheme="minorHAnsi" w:cstheme="minorHAnsi"/>
          <w:sz w:val="22"/>
          <w:szCs w:val="22"/>
        </w:rPr>
        <w:t xml:space="preserve">του </w:t>
      </w:r>
      <w:r w:rsidR="00555524">
        <w:rPr>
          <w:rFonts w:asciiTheme="minorHAnsi" w:hAnsiTheme="minorHAnsi" w:cstheme="minorHAnsi"/>
          <w:sz w:val="22"/>
          <w:szCs w:val="22"/>
        </w:rPr>
        <w:t>μείγματος</w:t>
      </w:r>
      <w:r w:rsidR="001B3C8A">
        <w:rPr>
          <w:rFonts w:asciiTheme="minorHAnsi" w:hAnsiTheme="minorHAnsi" w:cstheme="minorHAnsi"/>
          <w:sz w:val="22"/>
          <w:szCs w:val="22"/>
        </w:rPr>
        <w:t xml:space="preserve"> των</w:t>
      </w:r>
      <w:r w:rsidR="00555524">
        <w:rPr>
          <w:rFonts w:asciiTheme="minorHAnsi" w:hAnsiTheme="minorHAnsi" w:cstheme="minorHAnsi"/>
          <w:sz w:val="22"/>
          <w:szCs w:val="22"/>
        </w:rPr>
        <w:t xml:space="preserve"> έργων</w:t>
      </w:r>
      <w:r w:rsidR="00DF54BC">
        <w:rPr>
          <w:rFonts w:asciiTheme="minorHAnsi" w:hAnsiTheme="minorHAnsi" w:cstheme="minorHAnsi"/>
          <w:sz w:val="22"/>
          <w:szCs w:val="22"/>
        </w:rPr>
        <w:t>.</w:t>
      </w:r>
    </w:p>
    <w:p w14:paraId="21D585EA" w14:textId="710B97E0" w:rsidR="005628DF" w:rsidRPr="00F22A35" w:rsidRDefault="004F3C92"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Στον τομέα </w:t>
      </w:r>
      <w:r w:rsidR="001A64E7" w:rsidRPr="00F22A35">
        <w:rPr>
          <w:rFonts w:asciiTheme="minorHAnsi" w:hAnsiTheme="minorHAnsi" w:cstheme="minorHAnsi"/>
          <w:sz w:val="22"/>
          <w:szCs w:val="22"/>
        </w:rPr>
        <w:t xml:space="preserve">των </w:t>
      </w:r>
      <w:r w:rsidRPr="00F22A35">
        <w:rPr>
          <w:rFonts w:asciiTheme="minorHAnsi" w:hAnsiTheme="minorHAnsi" w:cstheme="minorHAnsi"/>
          <w:sz w:val="22"/>
          <w:szCs w:val="22"/>
        </w:rPr>
        <w:t>παραχωρήσεων</w:t>
      </w:r>
      <w:r w:rsidR="00DF54BC">
        <w:rPr>
          <w:rFonts w:asciiTheme="minorHAnsi" w:hAnsiTheme="minorHAnsi" w:cstheme="minorHAnsi"/>
          <w:sz w:val="22"/>
          <w:szCs w:val="22"/>
        </w:rPr>
        <w:t>,</w:t>
      </w:r>
      <w:r w:rsidRPr="00F22A35">
        <w:rPr>
          <w:rFonts w:asciiTheme="minorHAnsi" w:hAnsiTheme="minorHAnsi" w:cstheme="minorHAnsi"/>
          <w:sz w:val="22"/>
          <w:szCs w:val="22"/>
        </w:rPr>
        <w:t xml:space="preserve"> τ</w:t>
      </w:r>
      <w:r w:rsidR="005628DF" w:rsidRPr="00F22A35">
        <w:rPr>
          <w:rFonts w:asciiTheme="minorHAnsi" w:hAnsiTheme="minorHAnsi" w:cstheme="minorHAnsi"/>
          <w:sz w:val="22"/>
          <w:szCs w:val="22"/>
        </w:rPr>
        <w:t xml:space="preserve">ο </w:t>
      </w:r>
      <w:r w:rsidR="00B70D6D" w:rsidRPr="00F22A35">
        <w:rPr>
          <w:rFonts w:asciiTheme="minorHAnsi" w:hAnsiTheme="minorHAnsi" w:cstheme="minorHAnsi"/>
          <w:sz w:val="22"/>
          <w:szCs w:val="22"/>
        </w:rPr>
        <w:t xml:space="preserve">προσαρμοσμένο </w:t>
      </w:r>
      <w:r w:rsidR="005628DF" w:rsidRPr="00F22A35">
        <w:rPr>
          <w:rFonts w:asciiTheme="minorHAnsi" w:hAnsiTheme="minorHAnsi" w:cstheme="minorHAnsi"/>
          <w:sz w:val="22"/>
          <w:szCs w:val="22"/>
        </w:rPr>
        <w:t xml:space="preserve">EBITDA </w:t>
      </w:r>
      <w:r w:rsidRPr="00F22A35">
        <w:rPr>
          <w:rFonts w:asciiTheme="minorHAnsi" w:hAnsiTheme="minorHAnsi" w:cstheme="minorHAnsi"/>
          <w:sz w:val="22"/>
          <w:szCs w:val="22"/>
        </w:rPr>
        <w:t>ανήλθε</w:t>
      </w:r>
      <w:r w:rsidR="005628DF" w:rsidRPr="00F22A35">
        <w:rPr>
          <w:rFonts w:asciiTheme="minorHAnsi" w:hAnsiTheme="minorHAnsi" w:cstheme="minorHAnsi"/>
          <w:sz w:val="22"/>
          <w:szCs w:val="22"/>
        </w:rPr>
        <w:t xml:space="preserve"> στα € </w:t>
      </w:r>
      <w:r w:rsidR="00555524">
        <w:rPr>
          <w:rFonts w:asciiTheme="minorHAnsi" w:hAnsiTheme="minorHAnsi" w:cstheme="minorHAnsi"/>
          <w:sz w:val="22"/>
          <w:szCs w:val="22"/>
        </w:rPr>
        <w:t>27,9</w:t>
      </w:r>
      <w:r w:rsidR="005628DF" w:rsidRPr="00F22A35">
        <w:rPr>
          <w:rFonts w:asciiTheme="minorHAnsi" w:hAnsiTheme="minorHAnsi" w:cstheme="minorHAnsi"/>
          <w:sz w:val="22"/>
          <w:szCs w:val="22"/>
        </w:rPr>
        <w:t xml:space="preserve"> εκ.</w:t>
      </w:r>
      <w:r w:rsidR="00587B6E" w:rsidRPr="00F22A35">
        <w:rPr>
          <w:rFonts w:asciiTheme="minorHAnsi" w:hAnsiTheme="minorHAnsi" w:cstheme="minorHAnsi"/>
          <w:sz w:val="22"/>
          <w:szCs w:val="22"/>
        </w:rPr>
        <w:t xml:space="preserve"> </w:t>
      </w:r>
      <w:r w:rsidRPr="00F22A35">
        <w:rPr>
          <w:rFonts w:asciiTheme="minorHAnsi" w:hAnsiTheme="minorHAnsi" w:cstheme="minorHAnsi"/>
          <w:sz w:val="22"/>
          <w:szCs w:val="22"/>
        </w:rPr>
        <w:t>έναντι</w:t>
      </w:r>
      <w:r w:rsidR="00587B6E" w:rsidRPr="00F22A35">
        <w:rPr>
          <w:rFonts w:asciiTheme="minorHAnsi" w:hAnsiTheme="minorHAnsi" w:cstheme="minorHAnsi"/>
          <w:sz w:val="22"/>
          <w:szCs w:val="22"/>
        </w:rPr>
        <w:t xml:space="preserve"> € </w:t>
      </w:r>
      <w:r w:rsidR="00555524">
        <w:rPr>
          <w:rFonts w:asciiTheme="minorHAnsi" w:hAnsiTheme="minorHAnsi" w:cstheme="minorHAnsi"/>
          <w:sz w:val="22"/>
          <w:szCs w:val="22"/>
        </w:rPr>
        <w:t>19,3</w:t>
      </w:r>
      <w:r w:rsidR="00587B6E" w:rsidRPr="00F22A35">
        <w:rPr>
          <w:rFonts w:asciiTheme="minorHAnsi" w:hAnsiTheme="minorHAnsi" w:cstheme="minorHAnsi"/>
          <w:sz w:val="22"/>
          <w:szCs w:val="22"/>
        </w:rPr>
        <w:t xml:space="preserve"> εκ.</w:t>
      </w:r>
      <w:r w:rsidRPr="00F22A35">
        <w:rPr>
          <w:rFonts w:asciiTheme="minorHAnsi" w:hAnsiTheme="minorHAnsi" w:cstheme="minorHAnsi"/>
          <w:sz w:val="22"/>
          <w:szCs w:val="22"/>
        </w:rPr>
        <w:t xml:space="preserve"> τη</w:t>
      </w:r>
      <w:r w:rsidR="00890BF8">
        <w:rPr>
          <w:rFonts w:asciiTheme="minorHAnsi" w:hAnsiTheme="minorHAnsi" w:cstheme="minorHAnsi"/>
          <w:sz w:val="22"/>
          <w:szCs w:val="22"/>
        </w:rPr>
        <w:t>ν</w:t>
      </w:r>
      <w:r w:rsidRPr="00F22A35">
        <w:rPr>
          <w:rFonts w:asciiTheme="minorHAnsi" w:hAnsiTheme="minorHAnsi" w:cstheme="minorHAnsi"/>
          <w:sz w:val="22"/>
          <w:szCs w:val="22"/>
        </w:rPr>
        <w:t xml:space="preserve"> αντίστοιχη περ</w:t>
      </w:r>
      <w:r w:rsidR="00890BF8">
        <w:rPr>
          <w:rFonts w:asciiTheme="minorHAnsi" w:hAnsiTheme="minorHAnsi" w:cstheme="minorHAnsi"/>
          <w:sz w:val="22"/>
          <w:szCs w:val="22"/>
        </w:rPr>
        <w:t>ίο</w:t>
      </w:r>
      <w:r w:rsidRPr="00F22A35">
        <w:rPr>
          <w:rFonts w:asciiTheme="minorHAnsi" w:hAnsiTheme="minorHAnsi" w:cstheme="minorHAnsi"/>
          <w:sz w:val="22"/>
          <w:szCs w:val="22"/>
        </w:rPr>
        <w:t>δο του 202</w:t>
      </w:r>
      <w:r w:rsidR="00DA639E">
        <w:rPr>
          <w:rFonts w:asciiTheme="minorHAnsi" w:hAnsiTheme="minorHAnsi" w:cstheme="minorHAnsi"/>
          <w:sz w:val="22"/>
          <w:szCs w:val="22"/>
        </w:rPr>
        <w:t>2</w:t>
      </w:r>
      <w:r w:rsidR="00E55265">
        <w:rPr>
          <w:rFonts w:asciiTheme="minorHAnsi" w:hAnsiTheme="minorHAnsi" w:cstheme="minorHAnsi"/>
          <w:sz w:val="22"/>
          <w:szCs w:val="22"/>
        </w:rPr>
        <w:t xml:space="preserve"> σε συνέχεια της αύξησης των εσόδων</w:t>
      </w:r>
      <w:r w:rsidR="00DF54BC">
        <w:rPr>
          <w:rFonts w:asciiTheme="minorHAnsi" w:hAnsiTheme="minorHAnsi" w:cstheme="minorHAnsi"/>
          <w:sz w:val="22"/>
          <w:szCs w:val="22"/>
        </w:rPr>
        <w:t>.</w:t>
      </w:r>
      <w:r w:rsidR="005628DF" w:rsidRPr="00F22A35">
        <w:rPr>
          <w:rFonts w:asciiTheme="minorHAnsi" w:hAnsiTheme="minorHAnsi" w:cstheme="minorHAnsi"/>
          <w:sz w:val="22"/>
          <w:szCs w:val="22"/>
        </w:rPr>
        <w:t xml:space="preserve"> </w:t>
      </w:r>
    </w:p>
    <w:p w14:paraId="67DA94AA" w14:textId="49FE81B7" w:rsidR="00960C1C" w:rsidRPr="00F22A35" w:rsidRDefault="006373AB"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Στον τομέα </w:t>
      </w:r>
      <w:r w:rsidR="001A64E7" w:rsidRPr="00F22A35">
        <w:rPr>
          <w:rFonts w:asciiTheme="minorHAnsi" w:hAnsiTheme="minorHAnsi" w:cstheme="minorHAnsi"/>
          <w:sz w:val="22"/>
          <w:szCs w:val="22"/>
        </w:rPr>
        <w:t xml:space="preserve">της </w:t>
      </w:r>
      <w:r w:rsidRPr="00F22A35">
        <w:rPr>
          <w:rFonts w:asciiTheme="minorHAnsi" w:hAnsiTheme="minorHAnsi" w:cstheme="minorHAnsi"/>
          <w:sz w:val="22"/>
          <w:szCs w:val="22"/>
        </w:rPr>
        <w:t xml:space="preserve">παραγωγής και εμπορίας ενέργειας (ηλεκτρισμού και φυσικού αερίου) στην Ελλάδα και το </w:t>
      </w:r>
      <w:r w:rsidR="00CC2D87" w:rsidRPr="00F22A35">
        <w:rPr>
          <w:rFonts w:asciiTheme="minorHAnsi" w:hAnsiTheme="minorHAnsi" w:cstheme="minorHAnsi"/>
          <w:sz w:val="22"/>
          <w:szCs w:val="22"/>
        </w:rPr>
        <w:t>ε</w:t>
      </w:r>
      <w:r w:rsidRPr="00F22A35">
        <w:rPr>
          <w:rFonts w:asciiTheme="minorHAnsi" w:hAnsiTheme="minorHAnsi" w:cstheme="minorHAnsi"/>
          <w:sz w:val="22"/>
          <w:szCs w:val="22"/>
        </w:rPr>
        <w:t>ξωτερικό</w:t>
      </w:r>
      <w:r w:rsidR="00105849" w:rsidRPr="00F22A35">
        <w:rPr>
          <w:rFonts w:asciiTheme="minorHAnsi" w:hAnsiTheme="minorHAnsi" w:cstheme="minorHAnsi"/>
          <w:sz w:val="22"/>
          <w:szCs w:val="22"/>
        </w:rPr>
        <w:t xml:space="preserve">, το </w:t>
      </w:r>
      <w:r w:rsidR="005628DF" w:rsidRPr="00F22A35">
        <w:rPr>
          <w:rFonts w:asciiTheme="minorHAnsi" w:hAnsiTheme="minorHAnsi" w:cstheme="minorHAnsi"/>
          <w:sz w:val="22"/>
          <w:szCs w:val="22"/>
        </w:rPr>
        <w:t xml:space="preserve">συνολικό </w:t>
      </w:r>
      <w:r w:rsidR="00B70D6D" w:rsidRPr="00F22A35">
        <w:rPr>
          <w:rFonts w:asciiTheme="minorHAnsi" w:hAnsiTheme="minorHAnsi" w:cstheme="minorHAnsi"/>
          <w:sz w:val="22"/>
          <w:szCs w:val="22"/>
        </w:rPr>
        <w:t xml:space="preserve">προσαρμοσμένο </w:t>
      </w:r>
      <w:r w:rsidR="00FE22E5" w:rsidRPr="00F22A35">
        <w:rPr>
          <w:rFonts w:asciiTheme="minorHAnsi" w:hAnsiTheme="minorHAnsi" w:cstheme="minorHAnsi"/>
          <w:sz w:val="22"/>
          <w:szCs w:val="22"/>
        </w:rPr>
        <w:t xml:space="preserve">EBITDA </w:t>
      </w:r>
      <w:r w:rsidR="00B70D6D" w:rsidRPr="00F22A35">
        <w:rPr>
          <w:rFonts w:asciiTheme="minorHAnsi" w:hAnsiTheme="minorHAnsi" w:cstheme="minorHAnsi"/>
          <w:sz w:val="22"/>
          <w:szCs w:val="22"/>
        </w:rPr>
        <w:t xml:space="preserve">διαμορφώθηκε </w:t>
      </w:r>
      <w:r w:rsidR="00105849" w:rsidRPr="00F22A35">
        <w:rPr>
          <w:rFonts w:asciiTheme="minorHAnsi" w:hAnsiTheme="minorHAnsi" w:cstheme="minorHAnsi"/>
          <w:sz w:val="22"/>
          <w:szCs w:val="22"/>
        </w:rPr>
        <w:t xml:space="preserve">στα </w:t>
      </w:r>
      <w:r w:rsidR="00FE22E5" w:rsidRPr="00F22A35">
        <w:rPr>
          <w:rFonts w:asciiTheme="minorHAnsi" w:hAnsiTheme="minorHAnsi" w:cstheme="minorHAnsi"/>
          <w:sz w:val="22"/>
          <w:szCs w:val="22"/>
        </w:rPr>
        <w:t xml:space="preserve">€ </w:t>
      </w:r>
      <w:r w:rsidR="00555524">
        <w:rPr>
          <w:rFonts w:asciiTheme="minorHAnsi" w:hAnsiTheme="minorHAnsi" w:cstheme="minorHAnsi"/>
          <w:sz w:val="22"/>
          <w:szCs w:val="22"/>
        </w:rPr>
        <w:t>6</w:t>
      </w:r>
      <w:r w:rsidR="001C5287">
        <w:rPr>
          <w:rFonts w:asciiTheme="minorHAnsi" w:hAnsiTheme="minorHAnsi" w:cstheme="minorHAnsi"/>
          <w:sz w:val="22"/>
          <w:szCs w:val="22"/>
        </w:rPr>
        <w:t>8</w:t>
      </w:r>
      <w:r w:rsidR="00555524">
        <w:rPr>
          <w:rFonts w:asciiTheme="minorHAnsi" w:hAnsiTheme="minorHAnsi" w:cstheme="minorHAnsi"/>
          <w:sz w:val="22"/>
          <w:szCs w:val="22"/>
        </w:rPr>
        <w:t>,</w:t>
      </w:r>
      <w:r w:rsidR="001C5287">
        <w:rPr>
          <w:rFonts w:asciiTheme="minorHAnsi" w:hAnsiTheme="minorHAnsi" w:cstheme="minorHAnsi"/>
          <w:sz w:val="22"/>
          <w:szCs w:val="22"/>
        </w:rPr>
        <w:t>1</w:t>
      </w:r>
      <w:r w:rsidR="00105849" w:rsidRPr="00F22A35">
        <w:rPr>
          <w:rFonts w:asciiTheme="minorHAnsi" w:hAnsiTheme="minorHAnsi" w:cstheme="minorHAnsi"/>
          <w:sz w:val="22"/>
          <w:szCs w:val="22"/>
        </w:rPr>
        <w:t xml:space="preserve"> εκ.</w:t>
      </w:r>
      <w:r w:rsidR="007740D4" w:rsidRPr="00F22A35">
        <w:rPr>
          <w:rFonts w:asciiTheme="minorHAnsi" w:hAnsiTheme="minorHAnsi" w:cstheme="minorHAnsi"/>
          <w:sz w:val="22"/>
          <w:szCs w:val="22"/>
        </w:rPr>
        <w:t xml:space="preserve"> έναντι € </w:t>
      </w:r>
      <w:r w:rsidR="00555524">
        <w:rPr>
          <w:rFonts w:asciiTheme="minorHAnsi" w:hAnsiTheme="minorHAnsi" w:cstheme="minorHAnsi"/>
          <w:sz w:val="22"/>
          <w:szCs w:val="22"/>
        </w:rPr>
        <w:t>88,2</w:t>
      </w:r>
      <w:r w:rsidR="007740D4" w:rsidRPr="00F22A35">
        <w:rPr>
          <w:rFonts w:asciiTheme="minorHAnsi" w:hAnsiTheme="minorHAnsi" w:cstheme="minorHAnsi"/>
          <w:sz w:val="22"/>
          <w:szCs w:val="22"/>
        </w:rPr>
        <w:t xml:space="preserve"> εκ</w:t>
      </w:r>
      <w:r w:rsidR="00C92232" w:rsidRPr="00F22A35">
        <w:rPr>
          <w:rFonts w:asciiTheme="minorHAnsi" w:hAnsiTheme="minorHAnsi" w:cstheme="minorHAnsi"/>
          <w:sz w:val="22"/>
          <w:szCs w:val="22"/>
        </w:rPr>
        <w:t>.</w:t>
      </w:r>
      <w:r w:rsidR="007740D4" w:rsidRPr="00F22A35">
        <w:rPr>
          <w:rFonts w:asciiTheme="minorHAnsi" w:hAnsiTheme="minorHAnsi" w:cstheme="minorHAnsi"/>
          <w:sz w:val="22"/>
          <w:szCs w:val="22"/>
        </w:rPr>
        <w:t xml:space="preserve"> </w:t>
      </w:r>
      <w:r w:rsidR="00DF54BC" w:rsidRPr="00F22A35">
        <w:rPr>
          <w:rFonts w:asciiTheme="minorHAnsi" w:hAnsiTheme="minorHAnsi" w:cstheme="minorHAnsi"/>
          <w:sz w:val="22"/>
          <w:szCs w:val="22"/>
        </w:rPr>
        <w:t>τη</w:t>
      </w:r>
      <w:r w:rsidR="00890BF8">
        <w:rPr>
          <w:rFonts w:asciiTheme="minorHAnsi" w:hAnsiTheme="minorHAnsi" w:cstheme="minorHAnsi"/>
          <w:sz w:val="22"/>
          <w:szCs w:val="22"/>
        </w:rPr>
        <w:t>ν</w:t>
      </w:r>
      <w:r w:rsidR="00DF54BC" w:rsidRPr="00F22A35">
        <w:rPr>
          <w:rFonts w:asciiTheme="minorHAnsi" w:hAnsiTheme="minorHAnsi" w:cstheme="minorHAnsi"/>
          <w:sz w:val="22"/>
          <w:szCs w:val="22"/>
        </w:rPr>
        <w:t xml:space="preserve"> αντίστοιχη περ</w:t>
      </w:r>
      <w:r w:rsidR="00890BF8">
        <w:rPr>
          <w:rFonts w:asciiTheme="minorHAnsi" w:hAnsiTheme="minorHAnsi" w:cstheme="minorHAnsi"/>
          <w:sz w:val="22"/>
          <w:szCs w:val="22"/>
        </w:rPr>
        <w:t>ίο</w:t>
      </w:r>
      <w:r w:rsidR="00DF54BC" w:rsidRPr="00F22A35">
        <w:rPr>
          <w:rFonts w:asciiTheme="minorHAnsi" w:hAnsiTheme="minorHAnsi" w:cstheme="minorHAnsi"/>
          <w:sz w:val="22"/>
          <w:szCs w:val="22"/>
        </w:rPr>
        <w:t>δο του 202</w:t>
      </w:r>
      <w:r w:rsidR="00555524">
        <w:rPr>
          <w:rFonts w:asciiTheme="minorHAnsi" w:hAnsiTheme="minorHAnsi" w:cstheme="minorHAnsi"/>
          <w:sz w:val="22"/>
          <w:szCs w:val="22"/>
        </w:rPr>
        <w:t>2 κυρίως λόγ</w:t>
      </w:r>
      <w:r w:rsidR="00DA639E">
        <w:rPr>
          <w:rFonts w:asciiTheme="minorHAnsi" w:hAnsiTheme="minorHAnsi" w:cstheme="minorHAnsi"/>
          <w:sz w:val="22"/>
          <w:szCs w:val="22"/>
        </w:rPr>
        <w:t>ω</w:t>
      </w:r>
      <w:r w:rsidR="00555524">
        <w:rPr>
          <w:rFonts w:asciiTheme="minorHAnsi" w:hAnsiTheme="minorHAnsi" w:cstheme="minorHAnsi"/>
          <w:sz w:val="22"/>
          <w:szCs w:val="22"/>
        </w:rPr>
        <w:t xml:space="preserve"> χαμηλότερ</w:t>
      </w:r>
      <w:r w:rsidR="00B82B05">
        <w:rPr>
          <w:rFonts w:asciiTheme="minorHAnsi" w:hAnsiTheme="minorHAnsi" w:cstheme="minorHAnsi"/>
          <w:sz w:val="22"/>
          <w:szCs w:val="22"/>
        </w:rPr>
        <w:t>ων όγκων</w:t>
      </w:r>
      <w:r w:rsidR="00555524">
        <w:rPr>
          <w:rFonts w:asciiTheme="minorHAnsi" w:hAnsiTheme="minorHAnsi" w:cstheme="minorHAnsi"/>
          <w:sz w:val="22"/>
          <w:szCs w:val="22"/>
        </w:rPr>
        <w:t xml:space="preserve"> παραγωγής (</w:t>
      </w:r>
      <w:r w:rsidR="00507AC5">
        <w:rPr>
          <w:rFonts w:asciiTheme="minorHAnsi" w:hAnsiTheme="minorHAnsi" w:cstheme="minorHAnsi"/>
          <w:sz w:val="22"/>
          <w:szCs w:val="22"/>
        </w:rPr>
        <w:t>θερμική και ΑΠΕ</w:t>
      </w:r>
      <w:r w:rsidR="00555524">
        <w:rPr>
          <w:rFonts w:asciiTheme="minorHAnsi" w:hAnsiTheme="minorHAnsi" w:cstheme="minorHAnsi"/>
          <w:sz w:val="22"/>
          <w:szCs w:val="22"/>
        </w:rPr>
        <w:t>)</w:t>
      </w:r>
      <w:r w:rsidR="00DF54BC">
        <w:rPr>
          <w:rFonts w:asciiTheme="minorHAnsi" w:hAnsiTheme="minorHAnsi" w:cstheme="minorHAnsi"/>
          <w:sz w:val="22"/>
          <w:szCs w:val="22"/>
        </w:rPr>
        <w:t>.</w:t>
      </w:r>
    </w:p>
    <w:p w14:paraId="04265F55" w14:textId="77777777" w:rsidR="005E4E27" w:rsidRPr="00F22A35" w:rsidRDefault="005E4E27" w:rsidP="00AB5A93">
      <w:pPr>
        <w:pStyle w:val="ListParagraph"/>
        <w:spacing w:line="276" w:lineRule="auto"/>
        <w:ind w:left="426"/>
        <w:rPr>
          <w:rFonts w:asciiTheme="minorHAnsi" w:hAnsiTheme="minorHAnsi" w:cstheme="minorHAnsi"/>
          <w:sz w:val="22"/>
          <w:szCs w:val="22"/>
        </w:rPr>
      </w:pPr>
    </w:p>
    <w:p w14:paraId="0FD535F6" w14:textId="764DE0B6" w:rsidR="00A9204B" w:rsidRPr="00F22A35" w:rsidRDefault="00A9204B" w:rsidP="00AB5A93">
      <w:pPr>
        <w:jc w:val="both"/>
        <w:rPr>
          <w:rFonts w:asciiTheme="minorHAnsi" w:eastAsia="Times New Roman" w:hAnsiTheme="minorHAnsi" w:cstheme="minorHAnsi"/>
        </w:rPr>
      </w:pPr>
      <w:r w:rsidRPr="00F22A35">
        <w:rPr>
          <w:rFonts w:asciiTheme="minorHAnsi" w:eastAsia="Times New Roman" w:hAnsiTheme="minorHAnsi" w:cstheme="minorHAnsi"/>
          <w:b/>
          <w:bCs/>
        </w:rPr>
        <w:lastRenderedPageBreak/>
        <w:t>Τα Λ</w:t>
      </w:r>
      <w:r w:rsidRPr="00F22A35">
        <w:rPr>
          <w:rFonts w:asciiTheme="minorHAnsi" w:eastAsia="Times New Roman" w:hAnsiTheme="minorHAnsi" w:cstheme="minorHAnsi"/>
          <w:b/>
        </w:rPr>
        <w:t>ειτουργικά Αποτελέσματα προ τόκων και φόρων (</w:t>
      </w:r>
      <w:r w:rsidRPr="00F22A35">
        <w:rPr>
          <w:rFonts w:asciiTheme="minorHAnsi" w:eastAsia="Times New Roman" w:hAnsiTheme="minorHAnsi" w:cstheme="minorHAnsi"/>
          <w:b/>
          <w:lang w:val="en-US"/>
        </w:rPr>
        <w:t>EBIT</w:t>
      </w:r>
      <w:r w:rsidRPr="00F22A35">
        <w:rPr>
          <w:rFonts w:asciiTheme="minorHAnsi" w:eastAsia="Times New Roman" w:hAnsiTheme="minorHAnsi" w:cstheme="minorHAnsi"/>
          <w:b/>
        </w:rPr>
        <w:t>)</w:t>
      </w:r>
      <w:r w:rsidR="007B2F72" w:rsidRPr="00F22A35">
        <w:rPr>
          <w:rFonts w:asciiTheme="minorHAnsi" w:eastAsia="Times New Roman" w:hAnsiTheme="minorHAnsi" w:cstheme="minorHAnsi"/>
          <w:b/>
          <w:vertAlign w:val="superscript"/>
        </w:rPr>
        <w:t>1</w:t>
      </w:r>
      <w:r w:rsidRPr="00F22A35">
        <w:rPr>
          <w:rFonts w:asciiTheme="minorHAnsi" w:eastAsia="Times New Roman" w:hAnsiTheme="minorHAnsi" w:cstheme="minorHAnsi"/>
        </w:rPr>
        <w:t xml:space="preserve"> από συνεχιζόμενες δραστηριότητες διαμορφώθηκαν σε € </w:t>
      </w:r>
      <w:r w:rsidR="00B82B05">
        <w:rPr>
          <w:rFonts w:asciiTheme="minorHAnsi" w:eastAsia="Times New Roman" w:hAnsiTheme="minorHAnsi" w:cstheme="minorHAnsi"/>
        </w:rPr>
        <w:t>77,5</w:t>
      </w:r>
      <w:r w:rsidRPr="00F22A35">
        <w:rPr>
          <w:rFonts w:asciiTheme="minorHAnsi" w:eastAsia="Times New Roman" w:hAnsiTheme="minorHAnsi" w:cstheme="minorHAnsi"/>
        </w:rPr>
        <w:t xml:space="preserve"> εκ. έναντι € </w:t>
      </w:r>
      <w:r w:rsidR="00B82B05">
        <w:rPr>
          <w:rFonts w:asciiTheme="minorHAnsi" w:eastAsia="Times New Roman" w:hAnsiTheme="minorHAnsi" w:cstheme="minorHAnsi"/>
        </w:rPr>
        <w:t>60,8</w:t>
      </w:r>
      <w:r w:rsidRPr="00F22A35">
        <w:rPr>
          <w:rFonts w:asciiTheme="minorHAnsi" w:eastAsia="Times New Roman" w:hAnsiTheme="minorHAnsi" w:cstheme="minorHAnsi"/>
        </w:rPr>
        <w:t xml:space="preserve"> εκ. την αντίστοιχη</w:t>
      </w:r>
      <w:r w:rsidR="00407243" w:rsidRPr="00F22A35">
        <w:rPr>
          <w:rFonts w:asciiTheme="minorHAnsi" w:eastAsia="Times New Roman" w:hAnsiTheme="minorHAnsi" w:cstheme="minorHAnsi"/>
        </w:rPr>
        <w:t xml:space="preserve"> </w:t>
      </w:r>
      <w:r w:rsidRPr="00F22A35">
        <w:rPr>
          <w:rFonts w:asciiTheme="minorHAnsi" w:eastAsia="Times New Roman" w:hAnsiTheme="minorHAnsi" w:cstheme="minorHAnsi"/>
        </w:rPr>
        <w:t>περίοδο του 202</w:t>
      </w:r>
      <w:r w:rsidR="00B82B05">
        <w:rPr>
          <w:rFonts w:asciiTheme="minorHAnsi" w:eastAsia="Times New Roman" w:hAnsiTheme="minorHAnsi" w:cstheme="minorHAnsi"/>
        </w:rPr>
        <w:t>2</w:t>
      </w:r>
      <w:r w:rsidR="00893206" w:rsidRPr="00F22A35">
        <w:rPr>
          <w:rFonts w:asciiTheme="minorHAnsi" w:eastAsia="Times New Roman" w:hAnsiTheme="minorHAnsi" w:cstheme="minorHAnsi"/>
        </w:rPr>
        <w:t>.</w:t>
      </w:r>
    </w:p>
    <w:p w14:paraId="47190424" w14:textId="33734CD4" w:rsidR="00A9204B" w:rsidRPr="00F22A35" w:rsidRDefault="00A9204B" w:rsidP="00AB5A93">
      <w:pPr>
        <w:jc w:val="both"/>
        <w:rPr>
          <w:rFonts w:asciiTheme="minorHAnsi" w:eastAsia="Times New Roman" w:hAnsiTheme="minorHAnsi" w:cstheme="minorHAnsi"/>
        </w:rPr>
      </w:pPr>
      <w:r w:rsidRPr="00F22A35">
        <w:rPr>
          <w:rFonts w:asciiTheme="minorHAnsi" w:eastAsia="Times New Roman" w:hAnsiTheme="minorHAnsi" w:cstheme="minorHAnsi"/>
          <w:b/>
          <w:bCs/>
        </w:rPr>
        <w:t xml:space="preserve">Τα Κέρδη προ φόρων </w:t>
      </w:r>
      <w:r w:rsidRPr="00F22A35">
        <w:rPr>
          <w:rFonts w:asciiTheme="minorHAnsi" w:eastAsia="Times New Roman" w:hAnsiTheme="minorHAnsi" w:cstheme="minorHAnsi"/>
        </w:rPr>
        <w:t xml:space="preserve">διαμορφώθηκαν σε € </w:t>
      </w:r>
      <w:r w:rsidR="00B82B05">
        <w:rPr>
          <w:rFonts w:asciiTheme="minorHAnsi" w:eastAsia="Times New Roman" w:hAnsiTheme="minorHAnsi" w:cstheme="minorHAnsi"/>
        </w:rPr>
        <w:t>6</w:t>
      </w:r>
      <w:r w:rsidR="00065030">
        <w:rPr>
          <w:rFonts w:asciiTheme="minorHAnsi" w:eastAsia="Times New Roman" w:hAnsiTheme="minorHAnsi" w:cstheme="minorHAnsi"/>
        </w:rPr>
        <w:t>3</w:t>
      </w:r>
      <w:r w:rsidR="00B82B05">
        <w:rPr>
          <w:rFonts w:asciiTheme="minorHAnsi" w:eastAsia="Times New Roman" w:hAnsiTheme="minorHAnsi" w:cstheme="minorHAnsi"/>
        </w:rPr>
        <w:t>,</w:t>
      </w:r>
      <w:r w:rsidR="001C5287">
        <w:rPr>
          <w:rFonts w:asciiTheme="minorHAnsi" w:eastAsia="Times New Roman" w:hAnsiTheme="minorHAnsi" w:cstheme="minorHAnsi"/>
        </w:rPr>
        <w:t>7</w:t>
      </w:r>
      <w:r w:rsidR="00551301" w:rsidRPr="00F22A35">
        <w:rPr>
          <w:rFonts w:asciiTheme="minorHAnsi" w:eastAsia="Times New Roman" w:hAnsiTheme="minorHAnsi" w:cstheme="minorHAnsi"/>
        </w:rPr>
        <w:t xml:space="preserve"> </w:t>
      </w:r>
      <w:r w:rsidRPr="00F22A35">
        <w:rPr>
          <w:rFonts w:asciiTheme="minorHAnsi" w:eastAsia="Times New Roman" w:hAnsiTheme="minorHAnsi" w:cstheme="minorHAnsi"/>
        </w:rPr>
        <w:t xml:space="preserve">εκ. έναντι € </w:t>
      </w:r>
      <w:r w:rsidR="00B82B05">
        <w:rPr>
          <w:rFonts w:asciiTheme="minorHAnsi" w:eastAsia="Times New Roman" w:hAnsiTheme="minorHAnsi" w:cstheme="minorHAnsi"/>
        </w:rPr>
        <w:t>27</w:t>
      </w:r>
      <w:r w:rsidR="00065030">
        <w:rPr>
          <w:rFonts w:asciiTheme="minorHAnsi" w:eastAsia="Times New Roman" w:hAnsiTheme="minorHAnsi" w:cstheme="minorHAnsi"/>
        </w:rPr>
        <w:t>,</w:t>
      </w:r>
      <w:r w:rsidR="00B82B05">
        <w:rPr>
          <w:rFonts w:asciiTheme="minorHAnsi" w:eastAsia="Times New Roman" w:hAnsiTheme="minorHAnsi" w:cstheme="minorHAnsi"/>
        </w:rPr>
        <w:t>9</w:t>
      </w:r>
      <w:r w:rsidR="00551301" w:rsidRPr="00F22A35">
        <w:rPr>
          <w:rFonts w:asciiTheme="minorHAnsi" w:eastAsia="Times New Roman" w:hAnsiTheme="minorHAnsi" w:cstheme="minorHAnsi"/>
        </w:rPr>
        <w:t xml:space="preserve"> </w:t>
      </w:r>
      <w:r w:rsidRPr="00F22A35">
        <w:rPr>
          <w:rFonts w:asciiTheme="minorHAnsi" w:eastAsia="Times New Roman" w:hAnsiTheme="minorHAnsi" w:cstheme="minorHAnsi"/>
        </w:rPr>
        <w:t>εκ. την αντίστοιχη περίοδο του 202</w:t>
      </w:r>
      <w:r w:rsidR="00DA639E">
        <w:rPr>
          <w:rFonts w:asciiTheme="minorHAnsi" w:eastAsia="Times New Roman" w:hAnsiTheme="minorHAnsi" w:cstheme="minorHAnsi"/>
        </w:rPr>
        <w:t>2</w:t>
      </w:r>
      <w:r w:rsidRPr="00F22A35">
        <w:rPr>
          <w:rFonts w:asciiTheme="minorHAnsi" w:eastAsia="Times New Roman" w:hAnsiTheme="minorHAnsi" w:cstheme="minorHAnsi"/>
        </w:rPr>
        <w:t xml:space="preserve">. </w:t>
      </w:r>
    </w:p>
    <w:p w14:paraId="4A573C30" w14:textId="624563BA" w:rsidR="00E41F10" w:rsidRPr="00F22A35" w:rsidRDefault="00E41F10" w:rsidP="00AB5A93">
      <w:pPr>
        <w:jc w:val="both"/>
        <w:rPr>
          <w:rFonts w:asciiTheme="minorHAnsi" w:eastAsia="Times New Roman" w:hAnsiTheme="minorHAnsi" w:cstheme="minorHAnsi"/>
          <w:bCs/>
        </w:rPr>
      </w:pPr>
      <w:r w:rsidRPr="00F22A35">
        <w:rPr>
          <w:rFonts w:asciiTheme="minorHAnsi" w:eastAsia="Times New Roman" w:hAnsiTheme="minorHAnsi" w:cstheme="minorHAnsi"/>
          <w:b/>
          <w:bCs/>
        </w:rPr>
        <w:t>Τα Κέρδη μετά από φόρους που κατανέμονται στους ιδιοκτήτες της Μητρικής</w:t>
      </w:r>
      <w:r w:rsidRPr="00B82B05">
        <w:rPr>
          <w:rFonts w:asciiTheme="minorHAnsi" w:eastAsia="Times New Roman" w:hAnsiTheme="minorHAnsi" w:cstheme="minorHAnsi"/>
          <w:b/>
        </w:rPr>
        <w:t xml:space="preserve"> διαμορφώθηκαν σε </w:t>
      </w:r>
      <w:r w:rsidR="00170FD7" w:rsidRPr="00B82B05">
        <w:rPr>
          <w:rFonts w:asciiTheme="minorHAnsi" w:eastAsia="Times New Roman" w:hAnsiTheme="minorHAnsi" w:cstheme="minorHAnsi"/>
          <w:b/>
        </w:rPr>
        <w:t xml:space="preserve">€ </w:t>
      </w:r>
      <w:r w:rsidR="001C5287">
        <w:rPr>
          <w:rFonts w:asciiTheme="minorHAnsi" w:eastAsia="Times New Roman" w:hAnsiTheme="minorHAnsi" w:cstheme="minorHAnsi"/>
          <w:b/>
        </w:rPr>
        <w:t>38</w:t>
      </w:r>
      <w:r w:rsidR="00065030" w:rsidRPr="00B82B05">
        <w:rPr>
          <w:rFonts w:asciiTheme="minorHAnsi" w:eastAsia="Times New Roman" w:hAnsiTheme="minorHAnsi" w:cstheme="minorHAnsi"/>
          <w:b/>
        </w:rPr>
        <w:t>,</w:t>
      </w:r>
      <w:r w:rsidR="001C5287">
        <w:rPr>
          <w:rFonts w:asciiTheme="minorHAnsi" w:eastAsia="Times New Roman" w:hAnsiTheme="minorHAnsi" w:cstheme="minorHAnsi"/>
          <w:b/>
        </w:rPr>
        <w:t>8</w:t>
      </w:r>
      <w:r w:rsidR="00170FD7" w:rsidRPr="00B82B05">
        <w:rPr>
          <w:rFonts w:asciiTheme="minorHAnsi" w:eastAsia="Times New Roman" w:hAnsiTheme="minorHAnsi" w:cstheme="minorHAnsi"/>
          <w:b/>
        </w:rPr>
        <w:t xml:space="preserve"> </w:t>
      </w:r>
      <w:r w:rsidRPr="00B82B05">
        <w:rPr>
          <w:rFonts w:asciiTheme="minorHAnsi" w:eastAsia="Times New Roman" w:hAnsiTheme="minorHAnsi" w:cstheme="minorHAnsi"/>
          <w:b/>
        </w:rPr>
        <w:t xml:space="preserve">εκ. για το </w:t>
      </w:r>
      <w:r w:rsidR="00B82B05" w:rsidRPr="00B82B05">
        <w:rPr>
          <w:rFonts w:asciiTheme="minorHAnsi" w:eastAsia="Times New Roman" w:hAnsiTheme="minorHAnsi" w:cstheme="minorHAnsi"/>
          <w:b/>
        </w:rPr>
        <w:t>Α</w:t>
      </w:r>
      <w:r w:rsidR="00DA639E">
        <w:rPr>
          <w:rFonts w:asciiTheme="minorHAnsi" w:eastAsia="Times New Roman" w:hAnsiTheme="minorHAnsi" w:cstheme="minorHAnsi"/>
          <w:b/>
        </w:rPr>
        <w:t>’ Τ</w:t>
      </w:r>
      <w:r w:rsidR="00B82B05" w:rsidRPr="00B82B05">
        <w:rPr>
          <w:rFonts w:asciiTheme="minorHAnsi" w:eastAsia="Times New Roman" w:hAnsiTheme="minorHAnsi" w:cstheme="minorHAnsi"/>
          <w:b/>
        </w:rPr>
        <w:t xml:space="preserve">ρίμηνο του </w:t>
      </w:r>
      <w:r w:rsidRPr="00B82B05">
        <w:rPr>
          <w:rFonts w:asciiTheme="minorHAnsi" w:eastAsia="Times New Roman" w:hAnsiTheme="minorHAnsi" w:cstheme="minorHAnsi"/>
          <w:b/>
        </w:rPr>
        <w:t>202</w:t>
      </w:r>
      <w:r w:rsidR="00B82B05" w:rsidRPr="00B82B05">
        <w:rPr>
          <w:rFonts w:asciiTheme="minorHAnsi" w:eastAsia="Times New Roman" w:hAnsiTheme="minorHAnsi" w:cstheme="minorHAnsi"/>
          <w:b/>
        </w:rPr>
        <w:t>3</w:t>
      </w:r>
      <w:r w:rsidRPr="00B82B05">
        <w:rPr>
          <w:rFonts w:asciiTheme="minorHAnsi" w:eastAsia="Times New Roman" w:hAnsiTheme="minorHAnsi" w:cstheme="minorHAnsi"/>
          <w:b/>
        </w:rPr>
        <w:t xml:space="preserve"> </w:t>
      </w:r>
      <w:r w:rsidRPr="00F22A35">
        <w:rPr>
          <w:rFonts w:asciiTheme="minorHAnsi" w:eastAsia="Times New Roman" w:hAnsiTheme="minorHAnsi" w:cstheme="minorHAnsi"/>
          <w:bCs/>
        </w:rPr>
        <w:t xml:space="preserve">έναντι </w:t>
      </w:r>
      <w:r w:rsidR="00170FD7" w:rsidRPr="00F22A35">
        <w:rPr>
          <w:rFonts w:asciiTheme="minorHAnsi" w:eastAsia="Times New Roman" w:hAnsiTheme="minorHAnsi" w:cstheme="minorHAnsi"/>
          <w:bCs/>
        </w:rPr>
        <w:t>€</w:t>
      </w:r>
      <w:r w:rsidRPr="00F22A35">
        <w:rPr>
          <w:rFonts w:asciiTheme="minorHAnsi" w:eastAsia="Times New Roman" w:hAnsiTheme="minorHAnsi" w:cstheme="minorHAnsi"/>
          <w:bCs/>
        </w:rPr>
        <w:t xml:space="preserve"> </w:t>
      </w:r>
      <w:r w:rsidR="001C5287">
        <w:rPr>
          <w:rFonts w:asciiTheme="minorHAnsi" w:eastAsia="Times New Roman" w:hAnsiTheme="minorHAnsi" w:cstheme="minorHAnsi"/>
          <w:bCs/>
        </w:rPr>
        <w:t>8</w:t>
      </w:r>
      <w:r w:rsidR="00065030">
        <w:rPr>
          <w:rFonts w:asciiTheme="minorHAnsi" w:eastAsia="Times New Roman" w:hAnsiTheme="minorHAnsi" w:cstheme="minorHAnsi"/>
          <w:bCs/>
        </w:rPr>
        <w:t>,</w:t>
      </w:r>
      <w:r w:rsidR="001C5287">
        <w:rPr>
          <w:rFonts w:asciiTheme="minorHAnsi" w:eastAsia="Times New Roman" w:hAnsiTheme="minorHAnsi" w:cstheme="minorHAnsi"/>
          <w:bCs/>
        </w:rPr>
        <w:t>1</w:t>
      </w:r>
      <w:r w:rsidRPr="00F22A35">
        <w:rPr>
          <w:rFonts w:asciiTheme="minorHAnsi" w:eastAsia="Times New Roman" w:hAnsiTheme="minorHAnsi" w:cstheme="minorHAnsi"/>
          <w:bCs/>
        </w:rPr>
        <w:t xml:space="preserve"> εκ. για την αντίστοιχη περίοδο του 202</w:t>
      </w:r>
      <w:r w:rsidR="00B82B05">
        <w:rPr>
          <w:rFonts w:asciiTheme="minorHAnsi" w:eastAsia="Times New Roman" w:hAnsiTheme="minorHAnsi" w:cstheme="minorHAnsi"/>
          <w:bCs/>
        </w:rPr>
        <w:t>2</w:t>
      </w:r>
      <w:r w:rsidRPr="00F22A35">
        <w:rPr>
          <w:rFonts w:asciiTheme="minorHAnsi" w:eastAsia="Times New Roman" w:hAnsiTheme="minorHAnsi" w:cstheme="minorHAnsi"/>
          <w:bCs/>
        </w:rPr>
        <w:t xml:space="preserve">. </w:t>
      </w:r>
    </w:p>
    <w:p w14:paraId="6486B921" w14:textId="12C89A1E" w:rsidR="009D7ACE" w:rsidRPr="00F22A35" w:rsidRDefault="009D7ACE" w:rsidP="00AB5A93">
      <w:pPr>
        <w:jc w:val="both"/>
        <w:rPr>
          <w:rFonts w:asciiTheme="minorHAnsi" w:eastAsia="Times New Roman" w:hAnsiTheme="minorHAnsi" w:cstheme="minorHAnsi"/>
          <w:bCs/>
        </w:rPr>
      </w:pPr>
      <w:r w:rsidRPr="00F22A35">
        <w:rPr>
          <w:rFonts w:asciiTheme="minorHAnsi" w:eastAsia="Times New Roman" w:hAnsiTheme="minorHAnsi" w:cstheme="minorHAnsi"/>
        </w:rPr>
        <w:t xml:space="preserve">Στα αποτελέσματα μετά τους φόρους και τα δικαιώματα μειοψηφίας </w:t>
      </w:r>
      <w:r w:rsidR="00B82B05">
        <w:rPr>
          <w:rFonts w:asciiTheme="minorHAnsi" w:eastAsia="Times New Roman" w:hAnsiTheme="minorHAnsi" w:cstheme="minorHAnsi"/>
        </w:rPr>
        <w:t>της περιόδου του</w:t>
      </w:r>
      <w:r w:rsidRPr="00F22A35">
        <w:rPr>
          <w:rFonts w:asciiTheme="minorHAnsi" w:eastAsia="Times New Roman" w:hAnsiTheme="minorHAnsi" w:cstheme="minorHAnsi"/>
        </w:rPr>
        <w:t xml:space="preserve"> 202</w:t>
      </w:r>
      <w:r w:rsidR="00B82B05">
        <w:rPr>
          <w:rFonts w:asciiTheme="minorHAnsi" w:eastAsia="Times New Roman" w:hAnsiTheme="minorHAnsi" w:cstheme="minorHAnsi"/>
        </w:rPr>
        <w:t>3</w:t>
      </w:r>
      <w:r w:rsidRPr="00F22A35">
        <w:rPr>
          <w:rFonts w:asciiTheme="minorHAnsi" w:eastAsia="Times New Roman" w:hAnsiTheme="minorHAnsi" w:cstheme="minorHAnsi"/>
        </w:rPr>
        <w:t xml:space="preserve"> έχουν συμπεριληφθεί </w:t>
      </w:r>
      <w:r w:rsidR="00AA5D5B">
        <w:rPr>
          <w:rFonts w:asciiTheme="minorHAnsi" w:eastAsia="Times New Roman" w:hAnsiTheme="minorHAnsi" w:cstheme="minorHAnsi"/>
        </w:rPr>
        <w:t xml:space="preserve">μη </w:t>
      </w:r>
      <w:r w:rsidRPr="00F22A35">
        <w:rPr>
          <w:rFonts w:asciiTheme="minorHAnsi" w:eastAsia="Times New Roman" w:hAnsiTheme="minorHAnsi" w:cstheme="minorHAnsi"/>
        </w:rPr>
        <w:t>λειτουργικά αποτελέσματα</w:t>
      </w:r>
      <w:r w:rsidR="003942F4">
        <w:rPr>
          <w:rFonts w:asciiTheme="minorHAnsi" w:eastAsia="Times New Roman" w:hAnsiTheme="minorHAnsi" w:cstheme="minorHAnsi"/>
          <w:vertAlign w:val="superscript"/>
        </w:rPr>
        <w:t>(2)</w:t>
      </w:r>
      <w:r w:rsidRPr="00F22A35">
        <w:rPr>
          <w:rFonts w:asciiTheme="minorHAnsi" w:eastAsia="Times New Roman" w:hAnsiTheme="minorHAnsi" w:cstheme="minorHAnsi"/>
        </w:rPr>
        <w:t xml:space="preserve"> συνολικού </w:t>
      </w:r>
      <w:r w:rsidR="00B82B05">
        <w:rPr>
          <w:rFonts w:asciiTheme="minorHAnsi" w:eastAsia="Times New Roman" w:hAnsiTheme="minorHAnsi" w:cstheme="minorHAnsi"/>
        </w:rPr>
        <w:t xml:space="preserve">κέρδους </w:t>
      </w:r>
      <w:r w:rsidRPr="00F22A35">
        <w:rPr>
          <w:rFonts w:asciiTheme="minorHAnsi" w:eastAsia="Times New Roman" w:hAnsiTheme="minorHAnsi" w:cstheme="minorHAnsi"/>
        </w:rPr>
        <w:t>€</w:t>
      </w:r>
      <w:r w:rsidR="00DF54BC">
        <w:rPr>
          <w:rFonts w:asciiTheme="minorHAnsi" w:eastAsia="Times New Roman" w:hAnsiTheme="minorHAnsi" w:cstheme="minorHAnsi"/>
        </w:rPr>
        <w:t xml:space="preserve"> </w:t>
      </w:r>
      <w:r w:rsidR="001B3C8A">
        <w:rPr>
          <w:rFonts w:asciiTheme="minorHAnsi" w:eastAsia="Times New Roman" w:hAnsiTheme="minorHAnsi" w:cstheme="minorHAnsi"/>
        </w:rPr>
        <w:t>15</w:t>
      </w:r>
      <w:r w:rsidR="00453F50">
        <w:rPr>
          <w:rFonts w:asciiTheme="minorHAnsi" w:eastAsia="Times New Roman" w:hAnsiTheme="minorHAnsi" w:cstheme="minorHAnsi"/>
        </w:rPr>
        <w:t>,</w:t>
      </w:r>
      <w:r w:rsidR="00B82B05">
        <w:rPr>
          <w:rFonts w:asciiTheme="minorHAnsi" w:eastAsia="Times New Roman" w:hAnsiTheme="minorHAnsi" w:cstheme="minorHAnsi"/>
        </w:rPr>
        <w:t>8</w:t>
      </w:r>
      <w:r w:rsidRPr="00F22A35">
        <w:rPr>
          <w:rFonts w:asciiTheme="minorHAnsi" w:eastAsia="Times New Roman" w:hAnsiTheme="minorHAnsi" w:cstheme="minorHAnsi"/>
        </w:rPr>
        <w:t xml:space="preserve"> εκ. έναντι </w:t>
      </w:r>
      <w:r w:rsidR="00B82B05">
        <w:rPr>
          <w:rFonts w:asciiTheme="minorHAnsi" w:eastAsia="Times New Roman" w:hAnsiTheme="minorHAnsi" w:cstheme="minorHAnsi"/>
        </w:rPr>
        <w:t>συνολικής ζημίας</w:t>
      </w:r>
      <w:r w:rsidRPr="00F22A35">
        <w:rPr>
          <w:rFonts w:asciiTheme="minorHAnsi" w:eastAsia="Times New Roman" w:hAnsiTheme="minorHAnsi" w:cstheme="minorHAnsi"/>
        </w:rPr>
        <w:t xml:space="preserve"> € </w:t>
      </w:r>
      <w:r w:rsidR="001B3C8A">
        <w:rPr>
          <w:rFonts w:asciiTheme="minorHAnsi" w:eastAsia="Times New Roman" w:hAnsiTheme="minorHAnsi" w:cstheme="minorHAnsi"/>
        </w:rPr>
        <w:t>1</w:t>
      </w:r>
      <w:r w:rsidR="00453F50">
        <w:rPr>
          <w:rFonts w:asciiTheme="minorHAnsi" w:eastAsia="Times New Roman" w:hAnsiTheme="minorHAnsi" w:cstheme="minorHAnsi"/>
        </w:rPr>
        <w:t>,</w:t>
      </w:r>
      <w:r w:rsidR="001B3C8A">
        <w:rPr>
          <w:rFonts w:asciiTheme="minorHAnsi" w:eastAsia="Times New Roman" w:hAnsiTheme="minorHAnsi" w:cstheme="minorHAnsi"/>
        </w:rPr>
        <w:t>6</w:t>
      </w:r>
      <w:r w:rsidRPr="00F22A35">
        <w:rPr>
          <w:rFonts w:asciiTheme="minorHAnsi" w:eastAsia="Times New Roman" w:hAnsiTheme="minorHAnsi" w:cstheme="minorHAnsi"/>
        </w:rPr>
        <w:t xml:space="preserve"> εκ. την αντίστοιχη περίοδο του 202</w:t>
      </w:r>
      <w:r w:rsidR="00B82B05">
        <w:rPr>
          <w:rFonts w:asciiTheme="minorHAnsi" w:eastAsia="Times New Roman" w:hAnsiTheme="minorHAnsi" w:cstheme="minorHAnsi"/>
        </w:rPr>
        <w:t>2</w:t>
      </w:r>
      <w:r w:rsidRPr="00F22A35">
        <w:rPr>
          <w:rFonts w:asciiTheme="minorHAnsi" w:eastAsia="Times New Roman" w:hAnsiTheme="minorHAnsi" w:cstheme="minorHAnsi"/>
        </w:rPr>
        <w:t xml:space="preserve">. </w:t>
      </w:r>
    </w:p>
    <w:p w14:paraId="71672480" w14:textId="7FA74B53" w:rsidR="00E41F10" w:rsidRPr="00065030" w:rsidRDefault="00E41F10" w:rsidP="00AB5A93">
      <w:pPr>
        <w:jc w:val="both"/>
        <w:rPr>
          <w:rFonts w:asciiTheme="minorHAnsi" w:eastAsia="Times New Roman" w:hAnsiTheme="minorHAnsi" w:cstheme="minorHAnsi"/>
          <w:b/>
          <w:bCs/>
        </w:rPr>
      </w:pPr>
      <w:r w:rsidRPr="00065030">
        <w:rPr>
          <w:rFonts w:asciiTheme="minorHAnsi" w:eastAsia="Times New Roman" w:hAnsiTheme="minorHAnsi" w:cstheme="minorHAnsi"/>
          <w:b/>
          <w:bCs/>
        </w:rPr>
        <w:t xml:space="preserve">Τα αντίστοιχα Κέρδη μετά από φόρους από συνεχιζόμενες δραστηριότητες χωρίς την επίδραση </w:t>
      </w:r>
      <w:r w:rsidR="009D7ACE" w:rsidRPr="00065030">
        <w:rPr>
          <w:rFonts w:asciiTheme="minorHAnsi" w:eastAsia="Times New Roman" w:hAnsiTheme="minorHAnsi" w:cstheme="minorHAnsi"/>
          <w:b/>
          <w:bCs/>
        </w:rPr>
        <w:t xml:space="preserve">των ανωτέρω </w:t>
      </w:r>
      <w:r w:rsidRPr="00065030">
        <w:rPr>
          <w:rFonts w:asciiTheme="minorHAnsi" w:eastAsia="Times New Roman" w:hAnsiTheme="minorHAnsi" w:cstheme="minorHAnsi"/>
          <w:b/>
          <w:bCs/>
        </w:rPr>
        <w:t>μη λειτουργικών αποτελεσμάτων</w:t>
      </w:r>
      <w:r w:rsidR="001C5287">
        <w:rPr>
          <w:rFonts w:asciiTheme="minorHAnsi" w:eastAsia="Times New Roman" w:hAnsiTheme="minorHAnsi" w:cstheme="minorHAnsi"/>
          <w:b/>
          <w:bCs/>
          <w:vertAlign w:val="superscript"/>
        </w:rPr>
        <w:t>(2)</w:t>
      </w:r>
      <w:r w:rsidR="009067B1" w:rsidRPr="00065030">
        <w:rPr>
          <w:rFonts w:asciiTheme="minorHAnsi" w:eastAsia="Times New Roman" w:hAnsiTheme="minorHAnsi" w:cstheme="minorHAnsi"/>
          <w:b/>
          <w:bCs/>
        </w:rPr>
        <w:t xml:space="preserve"> που αναλογούν στους μετόχους της μητρικής</w:t>
      </w:r>
      <w:r w:rsidRPr="00065030">
        <w:rPr>
          <w:rFonts w:asciiTheme="minorHAnsi" w:eastAsia="Times New Roman" w:hAnsiTheme="minorHAnsi" w:cstheme="minorHAnsi"/>
          <w:b/>
          <w:bCs/>
        </w:rPr>
        <w:t xml:space="preserve">, διαμορφώθηκαν </w:t>
      </w:r>
      <w:r w:rsidR="00737647" w:rsidRPr="00065030">
        <w:rPr>
          <w:rFonts w:asciiTheme="minorHAnsi" w:eastAsia="Times New Roman" w:hAnsiTheme="minorHAnsi" w:cstheme="minorHAnsi"/>
          <w:b/>
          <w:bCs/>
        </w:rPr>
        <w:t xml:space="preserve">σε </w:t>
      </w:r>
      <w:r w:rsidRPr="00065030">
        <w:rPr>
          <w:rFonts w:asciiTheme="minorHAnsi" w:eastAsia="Times New Roman" w:hAnsiTheme="minorHAnsi" w:cstheme="minorHAnsi"/>
          <w:b/>
          <w:bCs/>
        </w:rPr>
        <w:t xml:space="preserve">€ </w:t>
      </w:r>
      <w:r w:rsidR="00B82B05">
        <w:rPr>
          <w:rFonts w:asciiTheme="minorHAnsi" w:eastAsia="Times New Roman" w:hAnsiTheme="minorHAnsi" w:cstheme="minorHAnsi"/>
          <w:b/>
          <w:bCs/>
        </w:rPr>
        <w:t>2</w:t>
      </w:r>
      <w:r w:rsidR="001C5287">
        <w:rPr>
          <w:rFonts w:asciiTheme="minorHAnsi" w:eastAsia="Times New Roman" w:hAnsiTheme="minorHAnsi" w:cstheme="minorHAnsi"/>
          <w:b/>
          <w:bCs/>
        </w:rPr>
        <w:t>3</w:t>
      </w:r>
      <w:r w:rsidR="009067B1" w:rsidRPr="00065030">
        <w:rPr>
          <w:rFonts w:asciiTheme="minorHAnsi" w:eastAsia="Times New Roman" w:hAnsiTheme="minorHAnsi" w:cstheme="minorHAnsi"/>
          <w:b/>
          <w:bCs/>
        </w:rPr>
        <w:t>,</w:t>
      </w:r>
      <w:r w:rsidR="001C5287">
        <w:rPr>
          <w:rFonts w:asciiTheme="minorHAnsi" w:eastAsia="Times New Roman" w:hAnsiTheme="minorHAnsi" w:cstheme="minorHAnsi"/>
          <w:b/>
          <w:bCs/>
        </w:rPr>
        <w:t>0</w:t>
      </w:r>
      <w:r w:rsidRPr="00065030">
        <w:rPr>
          <w:rFonts w:asciiTheme="minorHAnsi" w:eastAsia="Times New Roman" w:hAnsiTheme="minorHAnsi" w:cstheme="minorHAnsi"/>
          <w:b/>
          <w:bCs/>
        </w:rPr>
        <w:t xml:space="preserve"> εκ., έναντι € </w:t>
      </w:r>
      <w:r w:rsidR="00B82B05">
        <w:rPr>
          <w:rFonts w:asciiTheme="minorHAnsi" w:eastAsia="Times New Roman" w:hAnsiTheme="minorHAnsi" w:cstheme="minorHAnsi"/>
          <w:b/>
          <w:bCs/>
        </w:rPr>
        <w:t>9,</w:t>
      </w:r>
      <w:r w:rsidR="001C5287">
        <w:rPr>
          <w:rFonts w:asciiTheme="minorHAnsi" w:eastAsia="Times New Roman" w:hAnsiTheme="minorHAnsi" w:cstheme="minorHAnsi"/>
          <w:b/>
          <w:bCs/>
        </w:rPr>
        <w:t xml:space="preserve">6 </w:t>
      </w:r>
      <w:r w:rsidRPr="00065030">
        <w:rPr>
          <w:rFonts w:asciiTheme="minorHAnsi" w:eastAsia="Times New Roman" w:hAnsiTheme="minorHAnsi" w:cstheme="minorHAnsi"/>
          <w:b/>
          <w:bCs/>
        </w:rPr>
        <w:t xml:space="preserve">εκ. </w:t>
      </w:r>
      <w:r w:rsidR="00065030" w:rsidRPr="00065030">
        <w:rPr>
          <w:rFonts w:asciiTheme="minorHAnsi" w:eastAsia="Times New Roman" w:hAnsiTheme="minorHAnsi" w:cstheme="minorHAnsi"/>
          <w:b/>
          <w:bCs/>
        </w:rPr>
        <w:t>για το</w:t>
      </w:r>
      <w:r w:rsidRPr="00065030">
        <w:rPr>
          <w:rFonts w:asciiTheme="minorHAnsi" w:eastAsia="Times New Roman" w:hAnsiTheme="minorHAnsi" w:cstheme="minorHAnsi"/>
          <w:b/>
          <w:bCs/>
        </w:rPr>
        <w:t xml:space="preserve"> </w:t>
      </w:r>
      <w:proofErr w:type="spellStart"/>
      <w:r w:rsidR="00B82B05">
        <w:rPr>
          <w:rFonts w:asciiTheme="minorHAnsi" w:eastAsia="Times New Roman" w:hAnsiTheme="minorHAnsi" w:cstheme="minorHAnsi"/>
          <w:b/>
          <w:bCs/>
        </w:rPr>
        <w:t>Α</w:t>
      </w:r>
      <w:r w:rsidR="00DA639E">
        <w:rPr>
          <w:rFonts w:asciiTheme="minorHAnsi" w:eastAsia="Times New Roman" w:hAnsiTheme="minorHAnsi" w:cstheme="minorHAnsi"/>
          <w:b/>
          <w:bCs/>
        </w:rPr>
        <w:t>΄Τ</w:t>
      </w:r>
      <w:r w:rsidR="00B82B05">
        <w:rPr>
          <w:rFonts w:asciiTheme="minorHAnsi" w:eastAsia="Times New Roman" w:hAnsiTheme="minorHAnsi" w:cstheme="minorHAnsi"/>
          <w:b/>
          <w:bCs/>
        </w:rPr>
        <w:t>ρίμηνο</w:t>
      </w:r>
      <w:proofErr w:type="spellEnd"/>
      <w:r w:rsidR="00B82B05">
        <w:rPr>
          <w:rFonts w:asciiTheme="minorHAnsi" w:eastAsia="Times New Roman" w:hAnsiTheme="minorHAnsi" w:cstheme="minorHAnsi"/>
          <w:b/>
          <w:bCs/>
        </w:rPr>
        <w:t xml:space="preserve"> του </w:t>
      </w:r>
      <w:r w:rsidRPr="00065030">
        <w:rPr>
          <w:rFonts w:asciiTheme="minorHAnsi" w:eastAsia="Times New Roman" w:hAnsiTheme="minorHAnsi" w:cstheme="minorHAnsi"/>
          <w:b/>
          <w:bCs/>
        </w:rPr>
        <w:t>202</w:t>
      </w:r>
      <w:r w:rsidR="00B82B05">
        <w:rPr>
          <w:rFonts w:asciiTheme="minorHAnsi" w:eastAsia="Times New Roman" w:hAnsiTheme="minorHAnsi" w:cstheme="minorHAnsi"/>
          <w:b/>
          <w:bCs/>
        </w:rPr>
        <w:t>2</w:t>
      </w:r>
      <w:r w:rsidRPr="00065030">
        <w:rPr>
          <w:rFonts w:asciiTheme="minorHAnsi" w:eastAsia="Times New Roman" w:hAnsiTheme="minorHAnsi" w:cstheme="minorHAnsi"/>
          <w:b/>
          <w:bCs/>
        </w:rPr>
        <w:t>.</w:t>
      </w:r>
    </w:p>
    <w:p w14:paraId="4321EF7C" w14:textId="5D937829" w:rsidR="00586B48" w:rsidRPr="00F22A35" w:rsidRDefault="003942F4" w:rsidP="00AB5A93">
      <w:pPr>
        <w:jc w:val="both"/>
        <w:rPr>
          <w:rFonts w:asciiTheme="minorHAnsi" w:eastAsia="Times New Roman" w:hAnsiTheme="minorHAnsi" w:cstheme="minorHAnsi"/>
        </w:rPr>
      </w:pPr>
      <w:r w:rsidRPr="003942F4">
        <w:rPr>
          <w:rFonts w:asciiTheme="minorHAnsi" w:eastAsia="Times New Roman" w:hAnsiTheme="minorHAnsi" w:cstheme="minorHAnsi"/>
          <w:b/>
          <w:bCs/>
        </w:rPr>
        <w:t>Τα χρηματικά διαθέσιμα και ισοδύναμα του Ομίλου παρέμειναν υψηλά και διαμορφώθηκαν σε € 1.55</w:t>
      </w:r>
      <w:r w:rsidR="001C5287">
        <w:rPr>
          <w:rFonts w:asciiTheme="minorHAnsi" w:eastAsia="Times New Roman" w:hAnsiTheme="minorHAnsi" w:cstheme="minorHAnsi"/>
          <w:b/>
          <w:bCs/>
        </w:rPr>
        <w:t>8</w:t>
      </w:r>
      <w:r w:rsidRPr="003942F4">
        <w:rPr>
          <w:rFonts w:asciiTheme="minorHAnsi" w:eastAsia="Times New Roman" w:hAnsiTheme="minorHAnsi" w:cstheme="minorHAnsi"/>
          <w:b/>
          <w:bCs/>
        </w:rPr>
        <w:t>,</w:t>
      </w:r>
      <w:r w:rsidR="001B3C8A">
        <w:rPr>
          <w:rFonts w:asciiTheme="minorHAnsi" w:eastAsia="Times New Roman" w:hAnsiTheme="minorHAnsi" w:cstheme="minorHAnsi"/>
          <w:b/>
          <w:bCs/>
        </w:rPr>
        <w:t>0</w:t>
      </w:r>
      <w:r w:rsidRPr="003942F4">
        <w:rPr>
          <w:rFonts w:asciiTheme="minorHAnsi" w:eastAsia="Times New Roman" w:hAnsiTheme="minorHAnsi" w:cstheme="minorHAnsi"/>
          <w:b/>
          <w:bCs/>
        </w:rPr>
        <w:t xml:space="preserve"> εκ. την 31.03.2023</w:t>
      </w:r>
      <w:r>
        <w:rPr>
          <w:rFonts w:asciiTheme="minorHAnsi" w:eastAsia="Times New Roman" w:hAnsiTheme="minorHAnsi" w:cstheme="minorHAnsi"/>
        </w:rPr>
        <w:t xml:space="preserve"> έναντι </w:t>
      </w:r>
      <w:r w:rsidRPr="00F22A35">
        <w:rPr>
          <w:rFonts w:asciiTheme="minorHAnsi" w:eastAsia="Times New Roman" w:hAnsiTheme="minorHAnsi" w:cstheme="minorHAnsi"/>
        </w:rPr>
        <w:t>€</w:t>
      </w:r>
      <w:r>
        <w:rPr>
          <w:rFonts w:asciiTheme="minorHAnsi" w:eastAsia="Times New Roman" w:hAnsiTheme="minorHAnsi" w:cstheme="minorHAnsi"/>
        </w:rPr>
        <w:t xml:space="preserve"> </w:t>
      </w:r>
      <w:r w:rsidRPr="00F22A35">
        <w:rPr>
          <w:rFonts w:asciiTheme="minorHAnsi" w:eastAsia="Times New Roman" w:hAnsiTheme="minorHAnsi" w:cstheme="minorHAnsi"/>
        </w:rPr>
        <w:t>1.</w:t>
      </w:r>
      <w:r>
        <w:rPr>
          <w:rFonts w:asciiTheme="minorHAnsi" w:eastAsia="Times New Roman" w:hAnsiTheme="minorHAnsi" w:cstheme="minorHAnsi"/>
        </w:rPr>
        <w:t>491</w:t>
      </w:r>
      <w:r w:rsidRPr="00F22A35">
        <w:rPr>
          <w:rFonts w:asciiTheme="minorHAnsi" w:eastAsia="Times New Roman" w:hAnsiTheme="minorHAnsi" w:cstheme="minorHAnsi"/>
        </w:rPr>
        <w:t>,</w:t>
      </w:r>
      <w:r>
        <w:rPr>
          <w:rFonts w:asciiTheme="minorHAnsi" w:eastAsia="Times New Roman" w:hAnsiTheme="minorHAnsi" w:cstheme="minorHAnsi"/>
        </w:rPr>
        <w:t>7 την 31.12.2022</w:t>
      </w:r>
      <w:r w:rsidRPr="00F22A35">
        <w:rPr>
          <w:rFonts w:asciiTheme="minorHAnsi" w:eastAsia="Times New Roman" w:hAnsiTheme="minorHAnsi" w:cstheme="minorHAnsi"/>
        </w:rPr>
        <w:t>.</w:t>
      </w:r>
      <w:r>
        <w:rPr>
          <w:rFonts w:asciiTheme="minorHAnsi" w:eastAsia="Times New Roman" w:hAnsiTheme="minorHAnsi" w:cstheme="minorHAnsi"/>
        </w:rPr>
        <w:t xml:space="preserve"> </w:t>
      </w:r>
      <w:r w:rsidR="003C340F" w:rsidRPr="00F22A35">
        <w:rPr>
          <w:rFonts w:asciiTheme="minorHAnsi" w:eastAsia="Times New Roman" w:hAnsiTheme="minorHAnsi" w:cstheme="minorHAnsi"/>
          <w:bCs/>
        </w:rPr>
        <w:t xml:space="preserve">Οι συνολικές δανειακές υποχρεώσεις του Ομίλου </w:t>
      </w:r>
      <w:r w:rsidR="00737647" w:rsidRPr="00F22A35">
        <w:rPr>
          <w:rFonts w:asciiTheme="minorHAnsi" w:eastAsia="Times New Roman" w:hAnsiTheme="minorHAnsi" w:cstheme="minorHAnsi"/>
          <w:bCs/>
        </w:rPr>
        <w:t>στις</w:t>
      </w:r>
      <w:r w:rsidR="003C340F" w:rsidRPr="00F22A35">
        <w:rPr>
          <w:rFonts w:asciiTheme="minorHAnsi" w:eastAsia="Times New Roman" w:hAnsiTheme="minorHAnsi" w:cstheme="minorHAnsi"/>
          <w:bCs/>
        </w:rPr>
        <w:t xml:space="preserve"> </w:t>
      </w:r>
      <w:r w:rsidR="00065030">
        <w:rPr>
          <w:rFonts w:asciiTheme="minorHAnsi" w:eastAsia="Times New Roman" w:hAnsiTheme="minorHAnsi" w:cstheme="minorHAnsi"/>
          <w:bCs/>
        </w:rPr>
        <w:t>31</w:t>
      </w:r>
      <w:r w:rsidR="003C340F" w:rsidRPr="00F22A35">
        <w:rPr>
          <w:rFonts w:asciiTheme="minorHAnsi" w:eastAsia="Times New Roman" w:hAnsiTheme="minorHAnsi" w:cstheme="minorHAnsi"/>
          <w:bCs/>
        </w:rPr>
        <w:t>.</w:t>
      </w:r>
      <w:r>
        <w:rPr>
          <w:rFonts w:asciiTheme="minorHAnsi" w:eastAsia="Times New Roman" w:hAnsiTheme="minorHAnsi" w:cstheme="minorHAnsi"/>
          <w:bCs/>
        </w:rPr>
        <w:t>03</w:t>
      </w:r>
      <w:r w:rsidR="003C340F" w:rsidRPr="00F22A35">
        <w:rPr>
          <w:rFonts w:asciiTheme="minorHAnsi" w:eastAsia="Times New Roman" w:hAnsiTheme="minorHAnsi" w:cstheme="minorHAnsi"/>
          <w:bCs/>
        </w:rPr>
        <w:t>.202</w:t>
      </w:r>
      <w:r>
        <w:rPr>
          <w:rFonts w:asciiTheme="minorHAnsi" w:eastAsia="Times New Roman" w:hAnsiTheme="minorHAnsi" w:cstheme="minorHAnsi"/>
          <w:bCs/>
        </w:rPr>
        <w:t>3</w:t>
      </w:r>
      <w:r w:rsidR="003C340F" w:rsidRPr="00F22A35">
        <w:rPr>
          <w:rFonts w:asciiTheme="minorHAnsi" w:eastAsia="Times New Roman" w:hAnsiTheme="minorHAnsi" w:cstheme="minorHAnsi"/>
          <w:bCs/>
        </w:rPr>
        <w:t xml:space="preserve"> ανήλθαν σε </w:t>
      </w:r>
      <w:r w:rsidR="003C340F" w:rsidRPr="00F22A35">
        <w:rPr>
          <w:rFonts w:asciiTheme="minorHAnsi" w:eastAsia="Times New Roman" w:hAnsiTheme="minorHAnsi" w:cstheme="minorHAnsi"/>
        </w:rPr>
        <w:t xml:space="preserve">€ </w:t>
      </w:r>
      <w:r>
        <w:rPr>
          <w:rFonts w:asciiTheme="minorHAnsi" w:eastAsia="Times New Roman" w:hAnsiTheme="minorHAnsi" w:cstheme="minorHAnsi"/>
        </w:rPr>
        <w:t>3</w:t>
      </w:r>
      <w:r w:rsidR="003C340F" w:rsidRPr="00F22A35">
        <w:rPr>
          <w:rFonts w:asciiTheme="minorHAnsi" w:eastAsia="Times New Roman" w:hAnsiTheme="minorHAnsi" w:cstheme="minorHAnsi"/>
          <w:bCs/>
        </w:rPr>
        <w:t>.</w:t>
      </w:r>
      <w:r>
        <w:rPr>
          <w:rFonts w:asciiTheme="minorHAnsi" w:eastAsia="Times New Roman" w:hAnsiTheme="minorHAnsi" w:cstheme="minorHAnsi"/>
          <w:bCs/>
        </w:rPr>
        <w:t>1</w:t>
      </w:r>
      <w:r w:rsidR="001C5287">
        <w:rPr>
          <w:rFonts w:asciiTheme="minorHAnsi" w:eastAsia="Times New Roman" w:hAnsiTheme="minorHAnsi" w:cstheme="minorHAnsi"/>
          <w:bCs/>
        </w:rPr>
        <w:t>54</w:t>
      </w:r>
      <w:r w:rsidR="003C340F" w:rsidRPr="00F22A35">
        <w:rPr>
          <w:rFonts w:asciiTheme="minorHAnsi" w:eastAsia="Times New Roman" w:hAnsiTheme="minorHAnsi" w:cstheme="minorHAnsi"/>
          <w:bCs/>
        </w:rPr>
        <w:t>,</w:t>
      </w:r>
      <w:r w:rsidR="001C5287">
        <w:rPr>
          <w:rFonts w:asciiTheme="minorHAnsi" w:eastAsia="Times New Roman" w:hAnsiTheme="minorHAnsi" w:cstheme="minorHAnsi"/>
          <w:bCs/>
        </w:rPr>
        <w:t>4</w:t>
      </w:r>
      <w:r w:rsidR="003C340F" w:rsidRPr="00F22A35">
        <w:rPr>
          <w:rFonts w:asciiTheme="minorHAnsi" w:eastAsia="Times New Roman" w:hAnsiTheme="minorHAnsi" w:cstheme="minorHAnsi"/>
          <w:bCs/>
        </w:rPr>
        <w:t xml:space="preserve"> εκ. έναντι </w:t>
      </w:r>
      <w:r w:rsidR="003C340F" w:rsidRPr="00F22A35">
        <w:rPr>
          <w:rFonts w:asciiTheme="minorHAnsi" w:eastAsia="Times New Roman" w:hAnsiTheme="minorHAnsi" w:cstheme="minorHAnsi"/>
        </w:rPr>
        <w:t xml:space="preserve">€ </w:t>
      </w:r>
      <w:r w:rsidR="003C340F" w:rsidRPr="00F22A35">
        <w:rPr>
          <w:rFonts w:asciiTheme="minorHAnsi" w:eastAsia="Times New Roman" w:hAnsiTheme="minorHAnsi" w:cstheme="minorHAnsi"/>
          <w:bCs/>
        </w:rPr>
        <w:t>2.</w:t>
      </w:r>
      <w:r>
        <w:rPr>
          <w:rFonts w:asciiTheme="minorHAnsi" w:eastAsia="Times New Roman" w:hAnsiTheme="minorHAnsi" w:cstheme="minorHAnsi"/>
          <w:bCs/>
        </w:rPr>
        <w:t>993,3</w:t>
      </w:r>
      <w:r w:rsidR="003C340F" w:rsidRPr="00F22A35">
        <w:rPr>
          <w:rFonts w:asciiTheme="minorHAnsi" w:eastAsia="Times New Roman" w:hAnsiTheme="minorHAnsi" w:cstheme="minorHAnsi"/>
          <w:bCs/>
        </w:rPr>
        <w:t xml:space="preserve"> εκ. </w:t>
      </w:r>
      <w:r w:rsidR="00737647" w:rsidRPr="00F22A35">
        <w:rPr>
          <w:rFonts w:asciiTheme="minorHAnsi" w:eastAsia="Times New Roman" w:hAnsiTheme="minorHAnsi" w:cstheme="minorHAnsi"/>
          <w:bCs/>
        </w:rPr>
        <w:t>στις</w:t>
      </w:r>
      <w:r w:rsidR="003C340F" w:rsidRPr="00F22A35">
        <w:rPr>
          <w:rFonts w:asciiTheme="minorHAnsi" w:eastAsia="Times New Roman" w:hAnsiTheme="minorHAnsi" w:cstheme="minorHAnsi"/>
          <w:bCs/>
        </w:rPr>
        <w:t xml:space="preserve"> 31.12.202</w:t>
      </w:r>
      <w:r>
        <w:rPr>
          <w:rFonts w:asciiTheme="minorHAnsi" w:eastAsia="Times New Roman" w:hAnsiTheme="minorHAnsi" w:cstheme="minorHAnsi"/>
          <w:bCs/>
        </w:rPr>
        <w:t>2</w:t>
      </w:r>
      <w:r w:rsidR="003C340F" w:rsidRPr="00F22A35">
        <w:rPr>
          <w:rFonts w:asciiTheme="minorHAnsi" w:eastAsia="Times New Roman" w:hAnsiTheme="minorHAnsi" w:cstheme="minorHAnsi"/>
          <w:bCs/>
        </w:rPr>
        <w:t>.</w:t>
      </w:r>
      <w:r w:rsidR="003C340F" w:rsidRPr="00F22A35">
        <w:rPr>
          <w:rFonts w:asciiTheme="minorHAnsi" w:eastAsia="Times New Roman" w:hAnsiTheme="minorHAnsi" w:cstheme="minorHAnsi"/>
          <w:b/>
          <w:bCs/>
        </w:rPr>
        <w:t xml:space="preserve"> </w:t>
      </w:r>
      <w:r w:rsidR="00E41F10" w:rsidRPr="00F22A35">
        <w:rPr>
          <w:rFonts w:asciiTheme="minorHAnsi" w:eastAsia="Times New Roman" w:hAnsiTheme="minorHAnsi" w:cstheme="minorHAnsi"/>
          <w:b/>
          <w:bCs/>
        </w:rPr>
        <w:t>Το Καθαρό Χρέος</w:t>
      </w:r>
      <w:r w:rsidR="003C340F" w:rsidRPr="00F22A35">
        <w:rPr>
          <w:rFonts w:asciiTheme="minorHAnsi" w:eastAsia="Times New Roman" w:hAnsiTheme="minorHAnsi" w:cstheme="minorHAnsi"/>
          <w:b/>
          <w:bCs/>
          <w:vertAlign w:val="superscript"/>
        </w:rPr>
        <w:t>1</w:t>
      </w:r>
      <w:r w:rsidR="00E41F10" w:rsidRPr="00F22A35">
        <w:rPr>
          <w:rFonts w:asciiTheme="minorHAnsi" w:eastAsia="Times New Roman" w:hAnsiTheme="minorHAnsi" w:cstheme="minorHAnsi"/>
          <w:b/>
          <w:bCs/>
        </w:rPr>
        <w:t xml:space="preserve"> του Ομίλου (δανειακές υποχρεώσεις μείον χρηματικά διαθέσιμα) </w:t>
      </w:r>
      <w:r w:rsidR="00E41F10" w:rsidRPr="00F22A35">
        <w:rPr>
          <w:rFonts w:asciiTheme="minorHAnsi" w:eastAsia="Times New Roman" w:hAnsiTheme="minorHAnsi" w:cstheme="minorHAnsi"/>
        </w:rPr>
        <w:t xml:space="preserve">την </w:t>
      </w:r>
      <w:r>
        <w:rPr>
          <w:rFonts w:asciiTheme="minorHAnsi" w:eastAsia="Times New Roman" w:hAnsiTheme="minorHAnsi" w:cstheme="minorHAnsi"/>
        </w:rPr>
        <w:t>31.03.2023</w:t>
      </w:r>
      <w:r w:rsidR="005F5DBB">
        <w:rPr>
          <w:rFonts w:asciiTheme="minorHAnsi" w:eastAsia="Times New Roman" w:hAnsiTheme="minorHAnsi" w:cstheme="minorHAnsi"/>
        </w:rPr>
        <w:t xml:space="preserve"> διαμορφώθηκε σε </w:t>
      </w:r>
      <w:r w:rsidR="00E41F10" w:rsidRPr="00F22A35">
        <w:rPr>
          <w:rFonts w:asciiTheme="minorHAnsi" w:eastAsia="Times New Roman" w:hAnsiTheme="minorHAnsi" w:cstheme="minorHAnsi"/>
        </w:rPr>
        <w:t xml:space="preserve"> € 1.</w:t>
      </w:r>
      <w:r w:rsidR="00411101" w:rsidRPr="00F22A35">
        <w:rPr>
          <w:rFonts w:asciiTheme="minorHAnsi" w:eastAsia="Times New Roman" w:hAnsiTheme="minorHAnsi" w:cstheme="minorHAnsi"/>
        </w:rPr>
        <w:t>5</w:t>
      </w:r>
      <w:r w:rsidR="001C5287">
        <w:rPr>
          <w:rFonts w:asciiTheme="minorHAnsi" w:eastAsia="Times New Roman" w:hAnsiTheme="minorHAnsi" w:cstheme="minorHAnsi"/>
        </w:rPr>
        <w:t>9</w:t>
      </w:r>
      <w:r>
        <w:rPr>
          <w:rFonts w:asciiTheme="minorHAnsi" w:eastAsia="Times New Roman" w:hAnsiTheme="minorHAnsi" w:cstheme="minorHAnsi"/>
        </w:rPr>
        <w:t>6</w:t>
      </w:r>
      <w:r w:rsidR="00E41F10" w:rsidRPr="00F22A35">
        <w:rPr>
          <w:rFonts w:asciiTheme="minorHAnsi" w:eastAsia="Times New Roman" w:hAnsiTheme="minorHAnsi" w:cstheme="minorHAnsi"/>
        </w:rPr>
        <w:t>,</w:t>
      </w:r>
      <w:r w:rsidR="001C5287">
        <w:rPr>
          <w:rFonts w:asciiTheme="minorHAnsi" w:eastAsia="Times New Roman" w:hAnsiTheme="minorHAnsi" w:cstheme="minorHAnsi"/>
        </w:rPr>
        <w:t>4</w:t>
      </w:r>
      <w:r w:rsidR="00E41F10" w:rsidRPr="00F22A35">
        <w:rPr>
          <w:rFonts w:asciiTheme="minorHAnsi" w:eastAsia="Times New Roman" w:hAnsiTheme="minorHAnsi" w:cstheme="minorHAnsi"/>
        </w:rPr>
        <w:t xml:space="preserve"> εκ. έναντι € </w:t>
      </w:r>
      <w:r>
        <w:rPr>
          <w:rFonts w:asciiTheme="minorHAnsi" w:eastAsia="Times New Roman" w:hAnsiTheme="minorHAnsi" w:cstheme="minorHAnsi"/>
        </w:rPr>
        <w:t>1.501,6</w:t>
      </w:r>
      <w:r w:rsidR="00E41F10" w:rsidRPr="00F22A35">
        <w:rPr>
          <w:rFonts w:asciiTheme="minorHAnsi" w:eastAsia="Times New Roman" w:hAnsiTheme="minorHAnsi" w:cstheme="minorHAnsi"/>
        </w:rPr>
        <w:t xml:space="preserve"> εκ. την 31</w:t>
      </w:r>
      <w:r w:rsidR="00737647" w:rsidRPr="00F22A35">
        <w:rPr>
          <w:rFonts w:asciiTheme="minorHAnsi" w:eastAsia="Times New Roman" w:hAnsiTheme="minorHAnsi" w:cstheme="minorHAnsi"/>
          <w:vertAlign w:val="superscript"/>
        </w:rPr>
        <w:t>η</w:t>
      </w:r>
      <w:r w:rsidR="00737647" w:rsidRPr="00F22A35">
        <w:rPr>
          <w:rFonts w:asciiTheme="minorHAnsi" w:eastAsia="Times New Roman" w:hAnsiTheme="minorHAnsi" w:cstheme="minorHAnsi"/>
        </w:rPr>
        <w:t xml:space="preserve"> Δεκεμβρίου </w:t>
      </w:r>
      <w:r w:rsidR="00E41F10" w:rsidRPr="00F22A35">
        <w:rPr>
          <w:rFonts w:asciiTheme="minorHAnsi" w:eastAsia="Times New Roman" w:hAnsiTheme="minorHAnsi" w:cstheme="minorHAnsi"/>
        </w:rPr>
        <w:t>202</w:t>
      </w:r>
      <w:r>
        <w:rPr>
          <w:rFonts w:asciiTheme="minorHAnsi" w:eastAsia="Times New Roman" w:hAnsiTheme="minorHAnsi" w:cstheme="minorHAnsi"/>
        </w:rPr>
        <w:t>2</w:t>
      </w:r>
      <w:r w:rsidR="000E2EB1" w:rsidRPr="00F22A35">
        <w:rPr>
          <w:rFonts w:asciiTheme="minorHAnsi" w:eastAsia="Times New Roman" w:hAnsiTheme="minorHAnsi" w:cstheme="minorHAnsi"/>
        </w:rPr>
        <w:t>.</w:t>
      </w:r>
      <w:r w:rsidR="00335386">
        <w:rPr>
          <w:rFonts w:asciiTheme="minorHAnsi" w:eastAsia="Times New Roman" w:hAnsiTheme="minorHAnsi" w:cstheme="minorHAnsi"/>
        </w:rPr>
        <w:t xml:space="preserve"> </w:t>
      </w:r>
    </w:p>
    <w:p w14:paraId="11028800" w14:textId="319F277F" w:rsidR="00B151C8" w:rsidRPr="00F22A35" w:rsidRDefault="00314BB0" w:rsidP="00AB5A93">
      <w:pPr>
        <w:jc w:val="both"/>
      </w:pPr>
      <w:r w:rsidRPr="00F22A35">
        <w:rPr>
          <w:rFonts w:asciiTheme="minorHAnsi" w:eastAsia="Times New Roman" w:hAnsiTheme="minorHAnsi" w:cstheme="minorHAnsi"/>
          <w:b/>
          <w:bCs/>
        </w:rPr>
        <w:t xml:space="preserve">Ο συντελεστής Καθαρό </w:t>
      </w:r>
      <w:r w:rsidR="00BC1B59" w:rsidRPr="00F22A35">
        <w:rPr>
          <w:rFonts w:asciiTheme="minorHAnsi" w:eastAsia="Times New Roman" w:hAnsiTheme="minorHAnsi" w:cstheme="minorHAnsi"/>
          <w:b/>
          <w:bCs/>
        </w:rPr>
        <w:t>Χρ</w:t>
      </w:r>
      <w:r w:rsidR="006E5D38">
        <w:rPr>
          <w:rFonts w:asciiTheme="minorHAnsi" w:eastAsia="Times New Roman" w:hAnsiTheme="minorHAnsi" w:cstheme="minorHAnsi"/>
          <w:b/>
          <w:bCs/>
        </w:rPr>
        <w:t>έ</w:t>
      </w:r>
      <w:r w:rsidR="00BC1B59" w:rsidRPr="00F22A35">
        <w:rPr>
          <w:rFonts w:asciiTheme="minorHAnsi" w:eastAsia="Times New Roman" w:hAnsiTheme="minorHAnsi" w:cstheme="minorHAnsi"/>
          <w:b/>
          <w:bCs/>
        </w:rPr>
        <w:t>ο</w:t>
      </w:r>
      <w:r w:rsidRPr="00F22A35">
        <w:rPr>
          <w:rFonts w:asciiTheme="minorHAnsi" w:eastAsia="Times New Roman" w:hAnsiTheme="minorHAnsi" w:cstheme="minorHAnsi"/>
          <w:b/>
          <w:bCs/>
        </w:rPr>
        <w:t xml:space="preserve">ς/Προσαρμοσμένο </w:t>
      </w:r>
      <w:r w:rsidRPr="00F22A35">
        <w:rPr>
          <w:rFonts w:asciiTheme="minorHAnsi" w:eastAsia="Times New Roman" w:hAnsiTheme="minorHAnsi" w:cstheme="minorHAnsi"/>
          <w:b/>
          <w:bCs/>
          <w:lang w:val="en-US"/>
        </w:rPr>
        <w:t>EBITDA</w:t>
      </w:r>
      <w:r w:rsidR="00B82B05">
        <w:rPr>
          <w:rFonts w:asciiTheme="minorHAnsi" w:eastAsia="Times New Roman" w:hAnsiTheme="minorHAnsi" w:cstheme="minorHAnsi"/>
          <w:b/>
          <w:bCs/>
          <w:vertAlign w:val="superscript"/>
        </w:rPr>
        <w:t>(1)</w:t>
      </w:r>
      <w:r w:rsidRPr="00F22A35">
        <w:rPr>
          <w:b/>
          <w:bCs/>
        </w:rPr>
        <w:t xml:space="preserve"> </w:t>
      </w:r>
      <w:r w:rsidR="000353D6">
        <w:rPr>
          <w:b/>
          <w:bCs/>
        </w:rPr>
        <w:t xml:space="preserve">για τον Όμιλο </w:t>
      </w:r>
      <w:r w:rsidR="00B82B05">
        <w:rPr>
          <w:b/>
          <w:bCs/>
        </w:rPr>
        <w:t>σ</w:t>
      </w:r>
      <w:r w:rsidRPr="00F22A35">
        <w:rPr>
          <w:b/>
          <w:bCs/>
        </w:rPr>
        <w:t xml:space="preserve">το τέλος του </w:t>
      </w:r>
      <w:r w:rsidR="00B82B05">
        <w:rPr>
          <w:b/>
          <w:bCs/>
        </w:rPr>
        <w:t>Α</w:t>
      </w:r>
      <w:r w:rsidR="00DA639E">
        <w:rPr>
          <w:b/>
          <w:bCs/>
        </w:rPr>
        <w:t>’ Τ</w:t>
      </w:r>
      <w:r w:rsidR="00B82B05">
        <w:rPr>
          <w:b/>
          <w:bCs/>
        </w:rPr>
        <w:t xml:space="preserve">ριμήνου του </w:t>
      </w:r>
      <w:r w:rsidR="00115F30">
        <w:rPr>
          <w:b/>
          <w:bCs/>
        </w:rPr>
        <w:t>202</w:t>
      </w:r>
      <w:r w:rsidR="00B82B05">
        <w:rPr>
          <w:b/>
          <w:bCs/>
        </w:rPr>
        <w:t>3</w:t>
      </w:r>
      <w:r w:rsidRPr="00F22A35">
        <w:rPr>
          <w:b/>
          <w:bCs/>
        </w:rPr>
        <w:t xml:space="preserve"> διαμορφώθηκε σ</w:t>
      </w:r>
      <w:r w:rsidR="00737647" w:rsidRPr="00F22A35">
        <w:rPr>
          <w:b/>
          <w:bCs/>
        </w:rPr>
        <w:t>ε</w:t>
      </w:r>
      <w:r w:rsidRPr="00F22A35">
        <w:rPr>
          <w:b/>
          <w:bCs/>
        </w:rPr>
        <w:t xml:space="preserve"> </w:t>
      </w:r>
      <w:r w:rsidR="00335386">
        <w:rPr>
          <w:b/>
          <w:bCs/>
        </w:rPr>
        <w:t>2.3</w:t>
      </w:r>
      <w:r w:rsidRPr="00F22A35">
        <w:rPr>
          <w:b/>
          <w:bCs/>
          <w:lang w:val="en-US"/>
        </w:rPr>
        <w:t>x</w:t>
      </w:r>
      <w:r w:rsidRPr="00F22A35">
        <w:t xml:space="preserve"> </w:t>
      </w:r>
      <w:r w:rsidR="00B82B05">
        <w:t xml:space="preserve">παραμένοντας σταθερός σε σχέση με το τέλος </w:t>
      </w:r>
      <w:r w:rsidRPr="00F22A35">
        <w:t>202</w:t>
      </w:r>
      <w:r w:rsidR="00B82B05">
        <w:t>2</w:t>
      </w:r>
      <w:r w:rsidR="00335386">
        <w:t xml:space="preserve"> (και </w:t>
      </w:r>
      <w:r w:rsidR="00B82B05">
        <w:t>έναντι 3</w:t>
      </w:r>
      <w:r w:rsidR="00335386" w:rsidRPr="00F22A35">
        <w:t>.</w:t>
      </w:r>
      <w:r w:rsidR="002E343A" w:rsidRPr="002E343A">
        <w:t>9</w:t>
      </w:r>
      <w:r w:rsidR="00335386" w:rsidRPr="00F22A35">
        <w:rPr>
          <w:lang w:val="en-US"/>
        </w:rPr>
        <w:t>x</w:t>
      </w:r>
      <w:r w:rsidR="00335386" w:rsidRPr="00F22A35">
        <w:t xml:space="preserve"> στο τέλος του </w:t>
      </w:r>
      <w:r w:rsidR="00B82B05">
        <w:t>Α</w:t>
      </w:r>
      <w:r w:rsidR="00DA639E">
        <w:t>’ Τ</w:t>
      </w:r>
      <w:r w:rsidR="00B82B05">
        <w:t xml:space="preserve">ριμήνου του </w:t>
      </w:r>
      <w:r w:rsidR="00335386" w:rsidRPr="00F22A35">
        <w:t>202</w:t>
      </w:r>
      <w:r w:rsidR="00B82B05">
        <w:t>2</w:t>
      </w:r>
      <w:r w:rsidR="00335386">
        <w:t>)</w:t>
      </w:r>
      <w:r w:rsidR="00B82B05">
        <w:t>.</w:t>
      </w:r>
      <w:r w:rsidR="00335386">
        <w:t xml:space="preserve"> </w:t>
      </w:r>
    </w:p>
    <w:p w14:paraId="005B89B4" w14:textId="6682CDE6" w:rsidR="00B052DF" w:rsidRPr="00F22A35" w:rsidRDefault="000E2EB1" w:rsidP="00AB5A93">
      <w:pPr>
        <w:spacing w:before="240" w:after="120"/>
        <w:jc w:val="both"/>
        <w:rPr>
          <w:rFonts w:asciiTheme="minorHAnsi" w:eastAsia="Times New Roman" w:hAnsiTheme="minorHAnsi" w:cstheme="minorHAnsi"/>
          <w:b/>
          <w:bCs/>
          <w:u w:val="single"/>
        </w:rPr>
      </w:pPr>
      <w:r w:rsidRPr="00F22A35">
        <w:rPr>
          <w:rFonts w:asciiTheme="minorHAnsi" w:eastAsia="Times New Roman" w:hAnsiTheme="minorHAnsi" w:cstheme="minorHAnsi"/>
          <w:b/>
          <w:bCs/>
          <w:u w:val="single"/>
        </w:rPr>
        <w:t>Ισχυρή λειτουργική επίδοση σε όλους τους τομείς</w:t>
      </w:r>
    </w:p>
    <w:p w14:paraId="30D4BF33" w14:textId="78872E88" w:rsidR="001D41E0" w:rsidRDefault="001D41E0" w:rsidP="00AB5A93">
      <w:pPr>
        <w:tabs>
          <w:tab w:val="left" w:pos="1134"/>
        </w:tabs>
        <w:jc w:val="both"/>
        <w:rPr>
          <w:rFonts w:asciiTheme="minorHAnsi" w:hAnsiTheme="minorHAnsi" w:cstheme="minorHAnsi"/>
          <w:b/>
          <w:bCs/>
        </w:rPr>
      </w:pPr>
      <w:r>
        <w:rPr>
          <w:rFonts w:asciiTheme="minorHAnsi" w:hAnsiTheme="minorHAnsi" w:cstheme="minorHAnsi"/>
          <w:b/>
          <w:bCs/>
        </w:rPr>
        <w:t xml:space="preserve">Στον κατασκευαστικό τομέα </w:t>
      </w:r>
      <w:r w:rsidRPr="003E650A">
        <w:rPr>
          <w:rFonts w:asciiTheme="minorHAnsi" w:hAnsiTheme="minorHAnsi" w:cstheme="minorHAnsi"/>
        </w:rPr>
        <w:t xml:space="preserve">το ανεκτέλεστο κατά το τέλος του πρώτου τριμήνου του έτους </w:t>
      </w:r>
      <w:r w:rsidR="00E55265">
        <w:rPr>
          <w:rFonts w:asciiTheme="minorHAnsi" w:hAnsiTheme="minorHAnsi" w:cstheme="minorHAnsi"/>
        </w:rPr>
        <w:t xml:space="preserve">ανήλθε σε νέο ιστορικό υψηλό </w:t>
      </w:r>
      <w:r w:rsidR="00DA639E">
        <w:rPr>
          <w:rFonts w:asciiTheme="minorHAnsi" w:hAnsiTheme="minorHAnsi" w:cstheme="minorHAnsi"/>
        </w:rPr>
        <w:t>διαμορφούμενο</w:t>
      </w:r>
      <w:r w:rsidRPr="003E650A">
        <w:rPr>
          <w:rFonts w:asciiTheme="minorHAnsi" w:hAnsiTheme="minorHAnsi" w:cstheme="minorHAnsi"/>
        </w:rPr>
        <w:t xml:space="preserve"> σε </w:t>
      </w:r>
      <w:r w:rsidRPr="003E650A">
        <w:rPr>
          <w:rFonts w:asciiTheme="minorHAnsi" w:eastAsia="Times New Roman" w:hAnsiTheme="minorHAnsi" w:cstheme="minorHAnsi"/>
        </w:rPr>
        <w:t>€ 5,</w:t>
      </w:r>
      <w:r w:rsidR="00D451C6">
        <w:rPr>
          <w:rFonts w:asciiTheme="minorHAnsi" w:eastAsia="Times New Roman" w:hAnsiTheme="minorHAnsi" w:cstheme="minorHAnsi"/>
        </w:rPr>
        <w:t>5</w:t>
      </w:r>
      <w:r w:rsidRPr="003E650A">
        <w:rPr>
          <w:rFonts w:asciiTheme="minorHAnsi" w:eastAsia="Times New Roman" w:hAnsiTheme="minorHAnsi" w:cstheme="minorHAnsi"/>
        </w:rPr>
        <w:t xml:space="preserve"> δι</w:t>
      </w:r>
      <w:r w:rsidR="00DA639E">
        <w:rPr>
          <w:rFonts w:asciiTheme="minorHAnsi" w:eastAsia="Times New Roman" w:hAnsiTheme="minorHAnsi" w:cstheme="minorHAnsi"/>
        </w:rPr>
        <w:t>σ.</w:t>
      </w:r>
      <w:r w:rsidRPr="003E650A">
        <w:rPr>
          <w:rFonts w:asciiTheme="minorHAnsi" w:eastAsia="Times New Roman" w:hAnsiTheme="minorHAnsi" w:cstheme="minorHAnsi"/>
        </w:rPr>
        <w:t xml:space="preserve"> </w:t>
      </w:r>
      <w:r w:rsidR="00457D59" w:rsidRPr="003E650A">
        <w:rPr>
          <w:rFonts w:asciiTheme="minorHAnsi" w:eastAsia="Times New Roman" w:hAnsiTheme="minorHAnsi" w:cstheme="minorHAnsi"/>
        </w:rPr>
        <w:t xml:space="preserve">συμπεριλαμβάνοντας και τα έργα </w:t>
      </w:r>
      <w:r w:rsidR="00E55265">
        <w:rPr>
          <w:rFonts w:asciiTheme="minorHAnsi" w:eastAsia="Times New Roman" w:hAnsiTheme="minorHAnsi" w:cstheme="minorHAnsi"/>
        </w:rPr>
        <w:t>που αφορούν ιδίες επενδύσεις</w:t>
      </w:r>
      <w:r w:rsidR="00D451C6">
        <w:rPr>
          <w:rFonts w:asciiTheme="minorHAnsi" w:eastAsia="Times New Roman" w:hAnsiTheme="minorHAnsi" w:cstheme="minorHAnsi"/>
        </w:rPr>
        <w:t xml:space="preserve"> (</w:t>
      </w:r>
      <w:r w:rsidR="00457D59" w:rsidRPr="00457D59">
        <w:rPr>
          <w:rFonts w:asciiTheme="minorHAnsi" w:eastAsia="Times New Roman" w:hAnsiTheme="minorHAnsi" w:cstheme="minorHAnsi"/>
        </w:rPr>
        <w:t>έναντι 5,3 δι</w:t>
      </w:r>
      <w:r w:rsidR="00DA639E">
        <w:rPr>
          <w:rFonts w:asciiTheme="minorHAnsi" w:eastAsia="Times New Roman" w:hAnsiTheme="minorHAnsi" w:cstheme="minorHAnsi"/>
        </w:rPr>
        <w:t>σ.</w:t>
      </w:r>
      <w:r w:rsidR="00457D59" w:rsidRPr="00457D59">
        <w:rPr>
          <w:rFonts w:asciiTheme="minorHAnsi" w:eastAsia="Times New Roman" w:hAnsiTheme="minorHAnsi" w:cstheme="minorHAnsi"/>
        </w:rPr>
        <w:t xml:space="preserve"> στο τέλος του 2022</w:t>
      </w:r>
      <w:r w:rsidR="00D451C6">
        <w:rPr>
          <w:rFonts w:asciiTheme="minorHAnsi" w:eastAsia="Times New Roman" w:hAnsiTheme="minorHAnsi" w:cstheme="minorHAnsi"/>
        </w:rPr>
        <w:t>)</w:t>
      </w:r>
      <w:r w:rsidR="00DA639E">
        <w:rPr>
          <w:rFonts w:asciiTheme="minorHAnsi" w:eastAsia="Times New Roman" w:hAnsiTheme="minorHAnsi" w:cstheme="minorHAnsi"/>
        </w:rPr>
        <w:t xml:space="preserve">, ως αποτέλεσμα </w:t>
      </w:r>
      <w:r w:rsidR="00D451C6">
        <w:rPr>
          <w:rFonts w:asciiTheme="minorHAnsi" w:eastAsia="Times New Roman" w:hAnsiTheme="minorHAnsi" w:cstheme="minorHAnsi"/>
        </w:rPr>
        <w:t xml:space="preserve">της ανάληψης νέων έργων και παρά τον </w:t>
      </w:r>
      <w:r w:rsidR="00DA639E">
        <w:rPr>
          <w:rFonts w:asciiTheme="minorHAnsi" w:eastAsia="Times New Roman" w:hAnsiTheme="minorHAnsi" w:cstheme="minorHAnsi"/>
        </w:rPr>
        <w:t xml:space="preserve"> εντατικ</w:t>
      </w:r>
      <w:r w:rsidR="00D451C6">
        <w:rPr>
          <w:rFonts w:asciiTheme="minorHAnsi" w:eastAsia="Times New Roman" w:hAnsiTheme="minorHAnsi" w:cstheme="minorHAnsi"/>
        </w:rPr>
        <w:t>ό</w:t>
      </w:r>
      <w:r w:rsidR="00DA639E">
        <w:rPr>
          <w:rFonts w:asciiTheme="minorHAnsi" w:eastAsia="Times New Roman" w:hAnsiTheme="minorHAnsi" w:cstheme="minorHAnsi"/>
        </w:rPr>
        <w:t xml:space="preserve"> ρυθμού προόδου στα έργα που </w:t>
      </w:r>
      <w:r w:rsidR="00D451C6">
        <w:rPr>
          <w:rFonts w:asciiTheme="minorHAnsi" w:eastAsia="Times New Roman" w:hAnsiTheme="minorHAnsi" w:cstheme="minorHAnsi"/>
        </w:rPr>
        <w:t>βρίσκονται</w:t>
      </w:r>
      <w:r w:rsidR="00DA639E">
        <w:rPr>
          <w:rFonts w:asciiTheme="minorHAnsi" w:eastAsia="Times New Roman" w:hAnsiTheme="minorHAnsi" w:cstheme="minorHAnsi"/>
        </w:rPr>
        <w:t xml:space="preserve"> ήδη </w:t>
      </w:r>
      <w:r w:rsidR="00D451C6">
        <w:rPr>
          <w:rFonts w:asciiTheme="minorHAnsi" w:eastAsia="Times New Roman" w:hAnsiTheme="minorHAnsi" w:cstheme="minorHAnsi"/>
        </w:rPr>
        <w:t>υπό εκτέλεση</w:t>
      </w:r>
      <w:r w:rsidR="00457D59" w:rsidRPr="00457D59">
        <w:rPr>
          <w:rFonts w:asciiTheme="minorHAnsi" w:eastAsia="Times New Roman" w:hAnsiTheme="minorHAnsi" w:cstheme="minorHAnsi"/>
        </w:rPr>
        <w:t>.</w:t>
      </w:r>
      <w:r w:rsidR="00457D59" w:rsidRPr="00890BF8">
        <w:rPr>
          <w:rFonts w:asciiTheme="minorHAnsi" w:eastAsia="Times New Roman" w:hAnsiTheme="minorHAnsi" w:cstheme="minorHAnsi"/>
        </w:rPr>
        <w:t xml:space="preserve"> Συγκεκριμένα, το κατασκευαστικό ανεκτέλεστο των υπογεγραμμένων συμβάσεων</w:t>
      </w:r>
      <w:r w:rsidR="00E55265">
        <w:rPr>
          <w:rFonts w:asciiTheme="minorHAnsi" w:eastAsia="Times New Roman" w:hAnsiTheme="minorHAnsi" w:cstheme="minorHAnsi"/>
        </w:rPr>
        <w:t xml:space="preserve"> κατά το τέλος του πρώτου τριμήνου</w:t>
      </w:r>
      <w:r w:rsidR="00457D59" w:rsidRPr="00890BF8">
        <w:rPr>
          <w:rFonts w:asciiTheme="minorHAnsi" w:eastAsia="Times New Roman" w:hAnsiTheme="minorHAnsi" w:cstheme="minorHAnsi"/>
        </w:rPr>
        <w:t xml:space="preserve">, </w:t>
      </w:r>
      <w:r w:rsidR="00457D59">
        <w:rPr>
          <w:rFonts w:asciiTheme="minorHAnsi" w:eastAsia="Times New Roman" w:hAnsiTheme="minorHAnsi" w:cstheme="minorHAnsi"/>
        </w:rPr>
        <w:t>ανέρχεται σε</w:t>
      </w:r>
      <w:r w:rsidR="00457D59" w:rsidRPr="00890BF8">
        <w:rPr>
          <w:rFonts w:asciiTheme="minorHAnsi" w:eastAsia="Times New Roman" w:hAnsiTheme="minorHAnsi" w:cstheme="minorHAnsi"/>
        </w:rPr>
        <w:t xml:space="preserve"> € </w:t>
      </w:r>
      <w:r w:rsidR="00507AC5">
        <w:rPr>
          <w:rFonts w:asciiTheme="minorHAnsi" w:eastAsia="Times New Roman" w:hAnsiTheme="minorHAnsi" w:cstheme="minorHAnsi"/>
        </w:rPr>
        <w:t>2</w:t>
      </w:r>
      <w:r w:rsidR="00457D59" w:rsidRPr="00890BF8">
        <w:rPr>
          <w:rFonts w:asciiTheme="minorHAnsi" w:eastAsia="Times New Roman" w:hAnsiTheme="minorHAnsi" w:cstheme="minorHAnsi"/>
        </w:rPr>
        <w:t>,</w:t>
      </w:r>
      <w:r w:rsidR="00507AC5">
        <w:rPr>
          <w:rFonts w:asciiTheme="minorHAnsi" w:eastAsia="Times New Roman" w:hAnsiTheme="minorHAnsi" w:cstheme="minorHAnsi"/>
        </w:rPr>
        <w:t>8</w:t>
      </w:r>
      <w:r w:rsidR="00457D59" w:rsidRPr="00890BF8">
        <w:rPr>
          <w:rFonts w:asciiTheme="minorHAnsi" w:eastAsia="Times New Roman" w:hAnsiTheme="minorHAnsi" w:cstheme="minorHAnsi"/>
        </w:rPr>
        <w:t xml:space="preserve"> δι</w:t>
      </w:r>
      <w:r w:rsidR="00DA639E">
        <w:rPr>
          <w:rFonts w:asciiTheme="minorHAnsi" w:eastAsia="Times New Roman" w:hAnsiTheme="minorHAnsi" w:cstheme="minorHAnsi"/>
        </w:rPr>
        <w:t>σ.</w:t>
      </w:r>
      <w:r w:rsidR="00507AC5">
        <w:rPr>
          <w:rFonts w:asciiTheme="minorHAnsi" w:eastAsia="Times New Roman" w:hAnsiTheme="minorHAnsi" w:cstheme="minorHAnsi"/>
        </w:rPr>
        <w:t xml:space="preserve"> (</w:t>
      </w:r>
      <w:r w:rsidR="00457D59" w:rsidRPr="00890BF8">
        <w:rPr>
          <w:rFonts w:asciiTheme="minorHAnsi" w:eastAsia="Times New Roman" w:hAnsiTheme="minorHAnsi" w:cstheme="minorHAnsi"/>
        </w:rPr>
        <w:t>έναντι</w:t>
      </w:r>
      <w:r w:rsidR="00B332CF">
        <w:rPr>
          <w:rFonts w:asciiTheme="minorHAnsi" w:eastAsia="Times New Roman" w:hAnsiTheme="minorHAnsi" w:cstheme="minorHAnsi"/>
        </w:rPr>
        <w:t xml:space="preserve"> 2,9 δι</w:t>
      </w:r>
      <w:r w:rsidR="00DA639E">
        <w:rPr>
          <w:rFonts w:asciiTheme="minorHAnsi" w:eastAsia="Times New Roman" w:hAnsiTheme="minorHAnsi" w:cstheme="minorHAnsi"/>
        </w:rPr>
        <w:t>σ.</w:t>
      </w:r>
      <w:r w:rsidR="00457D59" w:rsidRPr="00890BF8">
        <w:rPr>
          <w:rFonts w:asciiTheme="minorHAnsi" w:eastAsia="Times New Roman" w:hAnsiTheme="minorHAnsi" w:cstheme="minorHAnsi"/>
        </w:rPr>
        <w:t xml:space="preserve"> </w:t>
      </w:r>
      <w:r w:rsidR="00DA639E">
        <w:rPr>
          <w:rFonts w:asciiTheme="minorHAnsi" w:eastAsia="Times New Roman" w:hAnsiTheme="minorHAnsi" w:cstheme="minorHAnsi"/>
        </w:rPr>
        <w:t>στο</w:t>
      </w:r>
      <w:r w:rsidR="00457D59" w:rsidRPr="00890BF8">
        <w:rPr>
          <w:rFonts w:asciiTheme="minorHAnsi" w:eastAsia="Times New Roman" w:hAnsiTheme="minorHAnsi" w:cstheme="minorHAnsi"/>
        </w:rPr>
        <w:t xml:space="preserve"> τέλος του 20</w:t>
      </w:r>
      <w:r w:rsidR="00457D59">
        <w:rPr>
          <w:rFonts w:asciiTheme="minorHAnsi" w:eastAsia="Times New Roman" w:hAnsiTheme="minorHAnsi" w:cstheme="minorHAnsi"/>
        </w:rPr>
        <w:t>22</w:t>
      </w:r>
      <w:r w:rsidR="00507AC5">
        <w:rPr>
          <w:rFonts w:asciiTheme="minorHAnsi" w:eastAsia="Times New Roman" w:hAnsiTheme="minorHAnsi" w:cstheme="minorHAnsi"/>
        </w:rPr>
        <w:t>)</w:t>
      </w:r>
      <w:r w:rsidR="00457D59" w:rsidRPr="00890BF8">
        <w:rPr>
          <w:rFonts w:asciiTheme="minorHAnsi" w:eastAsia="Times New Roman" w:hAnsiTheme="minorHAnsi" w:cstheme="minorHAnsi"/>
        </w:rPr>
        <w:t xml:space="preserve">. </w:t>
      </w:r>
      <w:r w:rsidR="00457D59" w:rsidRPr="00890BF8">
        <w:rPr>
          <w:rFonts w:asciiTheme="minorHAnsi" w:hAnsiTheme="minorHAnsi" w:cstheme="minorHAnsi"/>
        </w:rPr>
        <w:t xml:space="preserve">Περαιτέρω, ο Όμιλος </w:t>
      </w:r>
      <w:r w:rsidR="00E55265">
        <w:rPr>
          <w:rFonts w:asciiTheme="minorHAnsi" w:hAnsiTheme="minorHAnsi" w:cstheme="minorHAnsi"/>
        </w:rPr>
        <w:t xml:space="preserve">έχει έκτοτε </w:t>
      </w:r>
      <w:proofErr w:type="spellStart"/>
      <w:r w:rsidR="00E55265">
        <w:rPr>
          <w:rFonts w:asciiTheme="minorHAnsi" w:hAnsiTheme="minorHAnsi" w:cstheme="minorHAnsi"/>
        </w:rPr>
        <w:t>συμβασιοποιήσει</w:t>
      </w:r>
      <w:proofErr w:type="spellEnd"/>
      <w:r w:rsidR="00E55265">
        <w:rPr>
          <w:rFonts w:asciiTheme="minorHAnsi" w:hAnsiTheme="minorHAnsi" w:cstheme="minorHAnsi"/>
        </w:rPr>
        <w:t xml:space="preserve"> ή </w:t>
      </w:r>
      <w:r w:rsidR="00457D59" w:rsidRPr="00890BF8">
        <w:rPr>
          <w:rFonts w:asciiTheme="minorHAnsi" w:hAnsiTheme="minorHAnsi" w:cstheme="minorHAnsi"/>
        </w:rPr>
        <w:t xml:space="preserve">αναμένει τη </w:t>
      </w:r>
      <w:proofErr w:type="spellStart"/>
      <w:r w:rsidR="00457D59" w:rsidRPr="00890BF8">
        <w:rPr>
          <w:rFonts w:asciiTheme="minorHAnsi" w:hAnsiTheme="minorHAnsi" w:cstheme="minorHAnsi"/>
        </w:rPr>
        <w:t>συμβασιοποίηση</w:t>
      </w:r>
      <w:proofErr w:type="spellEnd"/>
      <w:r w:rsidR="00457D59" w:rsidRPr="00890BF8">
        <w:rPr>
          <w:rFonts w:asciiTheme="minorHAnsi" w:hAnsiTheme="minorHAnsi" w:cstheme="minorHAnsi"/>
        </w:rPr>
        <w:t xml:space="preserve"> νέων έργων ύψους € </w:t>
      </w:r>
      <w:r w:rsidR="00507AC5">
        <w:rPr>
          <w:rFonts w:asciiTheme="minorHAnsi" w:hAnsiTheme="minorHAnsi" w:cstheme="minorHAnsi"/>
        </w:rPr>
        <w:t>2</w:t>
      </w:r>
      <w:r w:rsidR="00457D59">
        <w:rPr>
          <w:rFonts w:asciiTheme="minorHAnsi" w:hAnsiTheme="minorHAnsi" w:cstheme="minorHAnsi"/>
        </w:rPr>
        <w:t>,</w:t>
      </w:r>
      <w:r w:rsidR="00D451C6">
        <w:rPr>
          <w:rFonts w:asciiTheme="minorHAnsi" w:hAnsiTheme="minorHAnsi" w:cstheme="minorHAnsi"/>
        </w:rPr>
        <w:t>7</w:t>
      </w:r>
      <w:r w:rsidR="00457D59" w:rsidRPr="00890BF8">
        <w:rPr>
          <w:rFonts w:asciiTheme="minorHAnsi" w:hAnsiTheme="minorHAnsi" w:cstheme="minorHAnsi"/>
        </w:rPr>
        <w:t xml:space="preserve"> δισ.</w:t>
      </w:r>
      <w:r w:rsidR="00457D59" w:rsidRPr="00890BF8">
        <w:rPr>
          <w:rFonts w:asciiTheme="minorHAnsi" w:eastAsia="Times New Roman" w:hAnsiTheme="minorHAnsi" w:cstheme="minorHAnsi"/>
        </w:rPr>
        <w:t xml:space="preserve"> που έχει εξασφαλίσει.</w:t>
      </w:r>
      <w:r w:rsidR="00457D59">
        <w:rPr>
          <w:rFonts w:asciiTheme="minorHAnsi" w:eastAsia="Times New Roman" w:hAnsiTheme="minorHAnsi" w:cstheme="minorHAnsi"/>
        </w:rPr>
        <w:t xml:space="preserve"> Σημειώνεται ότι το 9</w:t>
      </w:r>
      <w:r w:rsidR="00507AC5">
        <w:rPr>
          <w:rFonts w:asciiTheme="minorHAnsi" w:eastAsia="Times New Roman" w:hAnsiTheme="minorHAnsi" w:cstheme="minorHAnsi"/>
        </w:rPr>
        <w:t>0</w:t>
      </w:r>
      <w:r w:rsidR="00457D59">
        <w:rPr>
          <w:rFonts w:asciiTheme="minorHAnsi" w:eastAsia="Times New Roman" w:hAnsiTheme="minorHAnsi" w:cstheme="minorHAnsi"/>
        </w:rPr>
        <w:t>% των υπογεγραμμένων συμβάσεων αφορά έργα στην Ελλάδα.</w:t>
      </w:r>
      <w:r w:rsidR="00B33014">
        <w:rPr>
          <w:rFonts w:asciiTheme="minorHAnsi" w:eastAsia="Times New Roman" w:hAnsiTheme="minorHAnsi" w:cstheme="minorHAnsi"/>
        </w:rPr>
        <w:t xml:space="preserve"> </w:t>
      </w:r>
      <w:r w:rsidR="00B33014" w:rsidRPr="00554267">
        <w:rPr>
          <w:rFonts w:asciiTheme="minorHAnsi" w:eastAsia="Times New Roman" w:hAnsiTheme="minorHAnsi" w:cstheme="minorHAnsi"/>
        </w:rPr>
        <w:t>Δεδομένου του υψηλού ανεκτέλεστου και της δυνατότητας του Ομίλου να προχωράει στην απρόσκοπτη εκτέλεση των έργων αναμένεται η κατασκευαστική δραστηριότητα να παραμείνει υψηλή τις επόμενες περιόδους.</w:t>
      </w:r>
      <w:r w:rsidR="00B33014">
        <w:rPr>
          <w:rFonts w:asciiTheme="minorHAnsi" w:eastAsia="Times New Roman" w:hAnsiTheme="minorHAnsi" w:cstheme="minorHAnsi"/>
        </w:rPr>
        <w:t xml:space="preserve"> </w:t>
      </w:r>
    </w:p>
    <w:p w14:paraId="6CC30B42" w14:textId="1DF4824E" w:rsidR="00456FC2" w:rsidRPr="00F22A35" w:rsidRDefault="00B7673B" w:rsidP="00AB5A93">
      <w:pPr>
        <w:spacing w:before="240" w:after="120"/>
        <w:jc w:val="both"/>
        <w:rPr>
          <w:rFonts w:asciiTheme="minorHAnsi" w:eastAsia="Times New Roman" w:hAnsiTheme="minorHAnsi" w:cstheme="minorHAnsi"/>
        </w:rPr>
      </w:pPr>
      <w:r w:rsidRPr="00F22A35">
        <w:rPr>
          <w:rFonts w:asciiTheme="minorHAnsi" w:eastAsia="Times New Roman" w:hAnsiTheme="minorHAnsi" w:cstheme="minorHAnsi"/>
          <w:b/>
          <w:bCs/>
        </w:rPr>
        <w:t>Σχετικά με τον τομέα παραχωρήσεων</w:t>
      </w:r>
      <w:r w:rsidRPr="003E650A">
        <w:rPr>
          <w:rFonts w:asciiTheme="minorHAnsi" w:eastAsia="Times New Roman" w:hAnsiTheme="minorHAnsi" w:cstheme="minorHAnsi"/>
        </w:rPr>
        <w:t>, οι διελεύσεις στους αυτοκινητόδρομους (</w:t>
      </w:r>
      <w:r w:rsidR="00EF27E8" w:rsidRPr="003E650A">
        <w:rPr>
          <w:rFonts w:asciiTheme="minorHAnsi" w:eastAsia="Times New Roman" w:hAnsiTheme="minorHAnsi" w:cstheme="minorHAnsi"/>
        </w:rPr>
        <w:t>Νέα</w:t>
      </w:r>
      <w:r w:rsidRPr="003E650A">
        <w:rPr>
          <w:rFonts w:asciiTheme="minorHAnsi" w:eastAsia="Times New Roman" w:hAnsiTheme="minorHAnsi" w:cstheme="minorHAnsi"/>
        </w:rPr>
        <w:t xml:space="preserve"> και Κεντρική Οδό</w:t>
      </w:r>
      <w:r w:rsidR="00EF27E8" w:rsidRPr="003E650A">
        <w:rPr>
          <w:rFonts w:asciiTheme="minorHAnsi" w:eastAsia="Times New Roman" w:hAnsiTheme="minorHAnsi" w:cstheme="minorHAnsi"/>
        </w:rPr>
        <w:t>ς</w:t>
      </w:r>
      <w:r w:rsidRPr="003E650A">
        <w:rPr>
          <w:rFonts w:asciiTheme="minorHAnsi" w:eastAsia="Times New Roman" w:hAnsiTheme="minorHAnsi" w:cstheme="minorHAnsi"/>
        </w:rPr>
        <w:t xml:space="preserve">) </w:t>
      </w:r>
      <w:r w:rsidR="00B151C8" w:rsidRPr="003E650A">
        <w:rPr>
          <w:rFonts w:asciiTheme="minorHAnsi" w:eastAsia="Times New Roman" w:hAnsiTheme="minorHAnsi" w:cstheme="minorHAnsi"/>
        </w:rPr>
        <w:t xml:space="preserve">κατά το </w:t>
      </w:r>
      <w:r w:rsidR="00554267" w:rsidRPr="003E650A">
        <w:rPr>
          <w:rFonts w:asciiTheme="minorHAnsi" w:eastAsia="Times New Roman" w:hAnsiTheme="minorHAnsi" w:cstheme="minorHAnsi"/>
        </w:rPr>
        <w:t>Α</w:t>
      </w:r>
      <w:r w:rsidR="00DA639E">
        <w:rPr>
          <w:rFonts w:asciiTheme="minorHAnsi" w:eastAsia="Times New Roman" w:hAnsiTheme="minorHAnsi" w:cstheme="minorHAnsi"/>
        </w:rPr>
        <w:t>’ Τ</w:t>
      </w:r>
      <w:r w:rsidR="00554267" w:rsidRPr="003E650A">
        <w:rPr>
          <w:rFonts w:asciiTheme="minorHAnsi" w:eastAsia="Times New Roman" w:hAnsiTheme="minorHAnsi" w:cstheme="minorHAnsi"/>
        </w:rPr>
        <w:t xml:space="preserve">ρίμηνο του τρέχοντος έτους </w:t>
      </w:r>
      <w:r w:rsidRPr="003E650A">
        <w:rPr>
          <w:rFonts w:asciiTheme="minorHAnsi" w:eastAsia="Times New Roman" w:hAnsiTheme="minorHAnsi" w:cstheme="minorHAnsi"/>
        </w:rPr>
        <w:t xml:space="preserve">αυξήθηκαν σε σχέση με την περασμένη χρονιά </w:t>
      </w:r>
      <w:r w:rsidR="00DC64F8" w:rsidRPr="003E650A">
        <w:rPr>
          <w:rFonts w:asciiTheme="minorHAnsi" w:eastAsia="Times New Roman" w:hAnsiTheme="minorHAnsi" w:cstheme="minorHAnsi"/>
        </w:rPr>
        <w:t xml:space="preserve">κατά </w:t>
      </w:r>
      <w:r w:rsidR="003E650A" w:rsidRPr="003E650A">
        <w:rPr>
          <w:rFonts w:asciiTheme="minorHAnsi" w:eastAsia="Times New Roman" w:hAnsiTheme="minorHAnsi" w:cstheme="minorHAnsi"/>
        </w:rPr>
        <w:t>10</w:t>
      </w:r>
      <w:r w:rsidR="00554267" w:rsidRPr="003E650A">
        <w:rPr>
          <w:rFonts w:asciiTheme="minorHAnsi" w:eastAsia="Times New Roman" w:hAnsiTheme="minorHAnsi" w:cstheme="minorHAnsi"/>
        </w:rPr>
        <w:t>,</w:t>
      </w:r>
      <w:r w:rsidR="003E650A" w:rsidRPr="003E650A">
        <w:rPr>
          <w:rFonts w:asciiTheme="minorHAnsi" w:eastAsia="Times New Roman" w:hAnsiTheme="minorHAnsi" w:cstheme="minorHAnsi"/>
        </w:rPr>
        <w:t>2</w:t>
      </w:r>
      <w:r w:rsidR="00DC64F8" w:rsidRPr="003E650A">
        <w:rPr>
          <w:rFonts w:asciiTheme="minorHAnsi" w:eastAsia="Times New Roman" w:hAnsiTheme="minorHAnsi" w:cstheme="minorHAnsi"/>
        </w:rPr>
        <w:t>%</w:t>
      </w:r>
      <w:r w:rsidR="00DC64F8" w:rsidRPr="00F22A35">
        <w:rPr>
          <w:rFonts w:asciiTheme="minorHAnsi" w:eastAsia="Times New Roman" w:hAnsiTheme="minorHAnsi" w:cstheme="minorHAnsi"/>
        </w:rPr>
        <w:t xml:space="preserve"> </w:t>
      </w:r>
      <w:r w:rsidR="00554267">
        <w:rPr>
          <w:rFonts w:asciiTheme="minorHAnsi" w:eastAsia="Times New Roman" w:hAnsiTheme="minorHAnsi" w:cstheme="minorHAnsi"/>
        </w:rPr>
        <w:t>αποτυπώνοντας την αύξηση της οικονομικής δραστηριότητας στην χώρα</w:t>
      </w:r>
      <w:r w:rsidR="001B3C8A">
        <w:rPr>
          <w:rFonts w:asciiTheme="minorHAnsi" w:eastAsia="Times New Roman" w:hAnsiTheme="minorHAnsi" w:cstheme="minorHAnsi"/>
        </w:rPr>
        <w:t xml:space="preserve"> αλλά και τις βελτιωμένες καιρικές συνθήκες</w:t>
      </w:r>
      <w:r w:rsidR="00554267">
        <w:rPr>
          <w:rFonts w:asciiTheme="minorHAnsi" w:eastAsia="Times New Roman" w:hAnsiTheme="minorHAnsi" w:cstheme="minorHAnsi"/>
        </w:rPr>
        <w:t>.</w:t>
      </w:r>
      <w:r w:rsidR="00FC3570" w:rsidRPr="00F22A35">
        <w:rPr>
          <w:rFonts w:asciiTheme="minorHAnsi" w:eastAsia="Times New Roman" w:hAnsiTheme="minorHAnsi" w:cstheme="minorHAnsi"/>
        </w:rPr>
        <w:t xml:space="preserve"> </w:t>
      </w:r>
      <w:r w:rsidR="003E650A">
        <w:rPr>
          <w:rFonts w:asciiTheme="minorHAnsi" w:eastAsia="Times New Roman" w:hAnsiTheme="minorHAnsi" w:cstheme="minorHAnsi"/>
        </w:rPr>
        <w:t xml:space="preserve">Ακόμα σημαντικά νέα έργα </w:t>
      </w:r>
      <w:r w:rsidR="00981932">
        <w:rPr>
          <w:rFonts w:asciiTheme="minorHAnsi" w:eastAsia="Times New Roman" w:hAnsiTheme="minorHAnsi" w:cstheme="minorHAnsi"/>
        </w:rPr>
        <w:t xml:space="preserve">συνολικής αξίας </w:t>
      </w:r>
      <w:r w:rsidR="00981932" w:rsidRPr="00890BF8">
        <w:rPr>
          <w:rFonts w:asciiTheme="minorHAnsi" w:eastAsia="Times New Roman" w:hAnsiTheme="minorHAnsi" w:cstheme="minorHAnsi"/>
        </w:rPr>
        <w:t>€</w:t>
      </w:r>
      <w:r w:rsidR="00981932">
        <w:rPr>
          <w:rFonts w:asciiTheme="minorHAnsi" w:eastAsia="Times New Roman" w:hAnsiTheme="minorHAnsi" w:cstheme="minorHAnsi"/>
        </w:rPr>
        <w:t xml:space="preserve"> 4,5 δι</w:t>
      </w:r>
      <w:r w:rsidR="00DA639E">
        <w:rPr>
          <w:rFonts w:asciiTheme="minorHAnsi" w:eastAsia="Times New Roman" w:hAnsiTheme="minorHAnsi" w:cstheme="minorHAnsi"/>
        </w:rPr>
        <w:t>σ.</w:t>
      </w:r>
      <w:r w:rsidR="00981932">
        <w:rPr>
          <w:rFonts w:asciiTheme="minorHAnsi" w:eastAsia="Times New Roman" w:hAnsiTheme="minorHAnsi" w:cstheme="minorHAnsi"/>
        </w:rPr>
        <w:t xml:space="preserve"> </w:t>
      </w:r>
      <w:r w:rsidR="003E650A">
        <w:rPr>
          <w:rFonts w:asciiTheme="minorHAnsi" w:eastAsia="Times New Roman" w:hAnsiTheme="minorHAnsi" w:cstheme="minorHAnsi"/>
        </w:rPr>
        <w:t xml:space="preserve">βρίσκονται σε διάφορα στάδια ανάπτυξης και αναμένεται να συνεισφέρουν σημαντικά έσοδα τα επόμενα χρόνια. </w:t>
      </w:r>
      <w:r w:rsidR="00DA639E">
        <w:rPr>
          <w:rFonts w:asciiTheme="minorHAnsi" w:eastAsia="Times New Roman" w:hAnsiTheme="minorHAnsi" w:cstheme="minorHAnsi"/>
        </w:rPr>
        <w:t>Ο</w:t>
      </w:r>
      <w:r w:rsidR="003E650A">
        <w:rPr>
          <w:rFonts w:asciiTheme="minorHAnsi" w:eastAsia="Times New Roman" w:hAnsiTheme="minorHAnsi" w:cstheme="minorHAnsi"/>
        </w:rPr>
        <w:t xml:space="preserve"> Όμιλος συνεχίζει να συμμετέχει σε διαγωνισμούς για την παραχώρηση νέων έργων εκμεταλλευόμενος την ηγετική του θέση στην αγορά και την </w:t>
      </w:r>
      <w:r w:rsidR="00DA639E">
        <w:rPr>
          <w:rFonts w:asciiTheme="minorHAnsi" w:eastAsia="Times New Roman" w:hAnsiTheme="minorHAnsi" w:cstheme="minorHAnsi"/>
        </w:rPr>
        <w:t xml:space="preserve">οικονομική ευρωστία του, </w:t>
      </w:r>
      <w:r w:rsidR="003E650A">
        <w:rPr>
          <w:rFonts w:asciiTheme="minorHAnsi" w:eastAsia="Times New Roman" w:hAnsiTheme="minorHAnsi" w:cstheme="minorHAnsi"/>
        </w:rPr>
        <w:t>αλλά και τα πλεονεκτήματα της καθετοποιημένης οργάνωσ</w:t>
      </w:r>
      <w:r w:rsidR="00DA639E">
        <w:rPr>
          <w:rFonts w:asciiTheme="minorHAnsi" w:eastAsia="Times New Roman" w:hAnsiTheme="minorHAnsi" w:cstheme="minorHAnsi"/>
        </w:rPr>
        <w:t>ή</w:t>
      </w:r>
      <w:r w:rsidR="003E650A">
        <w:rPr>
          <w:rFonts w:asciiTheme="minorHAnsi" w:eastAsia="Times New Roman" w:hAnsiTheme="minorHAnsi" w:cstheme="minorHAnsi"/>
        </w:rPr>
        <w:t xml:space="preserve">ς του και των συνεργειών που αυτή </w:t>
      </w:r>
      <w:r w:rsidR="00D451C6">
        <w:rPr>
          <w:rFonts w:asciiTheme="minorHAnsi" w:eastAsia="Times New Roman" w:hAnsiTheme="minorHAnsi" w:cstheme="minorHAnsi"/>
        </w:rPr>
        <w:t xml:space="preserve">του </w:t>
      </w:r>
      <w:r w:rsidR="003E650A">
        <w:rPr>
          <w:rFonts w:asciiTheme="minorHAnsi" w:eastAsia="Times New Roman" w:hAnsiTheme="minorHAnsi" w:cstheme="minorHAnsi"/>
        </w:rPr>
        <w:t xml:space="preserve">προσφέρει.     </w:t>
      </w:r>
    </w:p>
    <w:p w14:paraId="4D77409E" w14:textId="4CE4BB9F" w:rsidR="00C811AB" w:rsidRPr="009A34F3" w:rsidRDefault="00960C1C" w:rsidP="00A774A1">
      <w:pPr>
        <w:jc w:val="both"/>
        <w:rPr>
          <w:rFonts w:cs="Calibri"/>
        </w:rPr>
      </w:pPr>
      <w:r w:rsidRPr="00F22A35">
        <w:rPr>
          <w:rFonts w:cs="Calibri"/>
          <w:b/>
          <w:bCs/>
        </w:rPr>
        <w:lastRenderedPageBreak/>
        <w:t xml:space="preserve">Στον τομέα </w:t>
      </w:r>
      <w:r w:rsidR="006373AB" w:rsidRPr="00F22A35">
        <w:rPr>
          <w:rFonts w:cs="Calibri"/>
          <w:b/>
          <w:bCs/>
        </w:rPr>
        <w:t xml:space="preserve">παραγωγής και εμπορίας </w:t>
      </w:r>
      <w:r w:rsidRPr="00F22A35">
        <w:rPr>
          <w:rFonts w:cs="Calibri"/>
          <w:b/>
          <w:bCs/>
        </w:rPr>
        <w:t>ενέργειας</w:t>
      </w:r>
      <w:r w:rsidR="006373AB" w:rsidRPr="00F22A35">
        <w:rPr>
          <w:rFonts w:cs="Calibri"/>
          <w:b/>
          <w:bCs/>
        </w:rPr>
        <w:t xml:space="preserve"> (ηλεκτρισμού και φυσικού αερίου) στην Ελλάδα και το </w:t>
      </w:r>
      <w:r w:rsidR="006A489D" w:rsidRPr="00F22A35">
        <w:rPr>
          <w:rFonts w:cs="Calibri"/>
          <w:b/>
          <w:bCs/>
        </w:rPr>
        <w:t>ε</w:t>
      </w:r>
      <w:r w:rsidR="006373AB" w:rsidRPr="00F22A35">
        <w:rPr>
          <w:rFonts w:cs="Calibri"/>
          <w:b/>
          <w:bCs/>
        </w:rPr>
        <w:t>ξωτερικό</w:t>
      </w:r>
      <w:r w:rsidRPr="00F22A35">
        <w:rPr>
          <w:rFonts w:cs="Calibri"/>
          <w:b/>
          <w:bCs/>
        </w:rPr>
        <w:t>,</w:t>
      </w:r>
      <w:r w:rsidR="00EF27E8" w:rsidRPr="00F22A35">
        <w:rPr>
          <w:rFonts w:cs="Calibri"/>
          <w:b/>
          <w:bCs/>
        </w:rPr>
        <w:t xml:space="preserve"> </w:t>
      </w:r>
      <w:r w:rsidR="009A34F3" w:rsidRPr="009A34F3">
        <w:rPr>
          <w:rFonts w:cs="Calibri"/>
        </w:rPr>
        <w:t xml:space="preserve">η ζήτηση </w:t>
      </w:r>
      <w:r w:rsidR="009A34F3">
        <w:rPr>
          <w:rFonts w:cs="Calibri"/>
        </w:rPr>
        <w:t xml:space="preserve">ρεύματος </w:t>
      </w:r>
      <w:r w:rsidR="009A34F3" w:rsidRPr="009A34F3">
        <w:rPr>
          <w:rFonts w:cs="Calibri"/>
        </w:rPr>
        <w:t xml:space="preserve">στην Ελλάδα </w:t>
      </w:r>
      <w:r w:rsidR="001B3C8A">
        <w:rPr>
          <w:rFonts w:cs="Calibri"/>
        </w:rPr>
        <w:t xml:space="preserve">μειώθηκε </w:t>
      </w:r>
      <w:r w:rsidR="009A34F3" w:rsidRPr="009A34F3">
        <w:rPr>
          <w:rFonts w:cs="Calibri"/>
        </w:rPr>
        <w:t>κατά 1</w:t>
      </w:r>
      <w:r w:rsidR="009A34F3">
        <w:rPr>
          <w:rFonts w:cs="Calibri"/>
        </w:rPr>
        <w:t>1,9</w:t>
      </w:r>
      <w:r w:rsidR="009A34F3" w:rsidRPr="009A34F3">
        <w:rPr>
          <w:rFonts w:cs="Calibri"/>
        </w:rPr>
        <w:t>% το πρ</w:t>
      </w:r>
      <w:r w:rsidR="009A34F3">
        <w:rPr>
          <w:rFonts w:cs="Calibri"/>
        </w:rPr>
        <w:t>ώ</w:t>
      </w:r>
      <w:r w:rsidR="009A34F3" w:rsidRPr="009A34F3">
        <w:rPr>
          <w:rFonts w:cs="Calibri"/>
        </w:rPr>
        <w:t xml:space="preserve">το τρίμηνο του έτους </w:t>
      </w:r>
      <w:r w:rsidR="00DA639E">
        <w:rPr>
          <w:rFonts w:cs="Calibri"/>
        </w:rPr>
        <w:t>ως</w:t>
      </w:r>
      <w:r w:rsidR="009A34F3" w:rsidRPr="009A34F3">
        <w:rPr>
          <w:rFonts w:cs="Calibri"/>
        </w:rPr>
        <w:t xml:space="preserve"> αποτέλεσμα των</w:t>
      </w:r>
      <w:r w:rsidR="009A34F3">
        <w:rPr>
          <w:rFonts w:cs="Calibri"/>
          <w:b/>
          <w:bCs/>
        </w:rPr>
        <w:t xml:space="preserve"> </w:t>
      </w:r>
      <w:r w:rsidR="00222BC2" w:rsidRPr="00222BC2">
        <w:rPr>
          <w:rFonts w:cs="Calibri"/>
        </w:rPr>
        <w:t xml:space="preserve">πολύ </w:t>
      </w:r>
      <w:r w:rsidR="009A34F3">
        <w:rPr>
          <w:rFonts w:cs="Calibri"/>
        </w:rPr>
        <w:t>υψηλών για την εποχή θερμοκρασιών</w:t>
      </w:r>
      <w:r w:rsidR="00DA639E">
        <w:rPr>
          <w:rFonts w:cs="Calibri"/>
        </w:rPr>
        <w:t>,</w:t>
      </w:r>
      <w:r w:rsidR="002E52E0" w:rsidRPr="002E52E0">
        <w:rPr>
          <w:rFonts w:cs="Calibri"/>
        </w:rPr>
        <w:t xml:space="preserve"> </w:t>
      </w:r>
      <w:r w:rsidR="002E52E0">
        <w:rPr>
          <w:rFonts w:cs="Calibri"/>
        </w:rPr>
        <w:t>αλλά και των μέτρων εξοικονόμησης ενέργειας</w:t>
      </w:r>
      <w:r w:rsidR="001B3C8A">
        <w:rPr>
          <w:rFonts w:cs="Calibri"/>
        </w:rPr>
        <w:t>.</w:t>
      </w:r>
      <w:r w:rsidR="002E52E0">
        <w:rPr>
          <w:rFonts w:cs="Calibri"/>
        </w:rPr>
        <w:t xml:space="preserve"> </w:t>
      </w:r>
      <w:r w:rsidR="001B3C8A">
        <w:rPr>
          <w:rFonts w:cs="Calibri"/>
        </w:rPr>
        <w:t>Σ</w:t>
      </w:r>
      <w:r w:rsidR="009A34F3">
        <w:rPr>
          <w:rFonts w:cs="Calibri"/>
        </w:rPr>
        <w:t>ε συνδυασμό με την αυξημένη παραγωγή από ΑΠΕ</w:t>
      </w:r>
      <w:r w:rsidR="002E52E0">
        <w:rPr>
          <w:rFonts w:cs="Calibri"/>
        </w:rPr>
        <w:t xml:space="preserve"> λόγ</w:t>
      </w:r>
      <w:r w:rsidR="00DA639E">
        <w:rPr>
          <w:rFonts w:cs="Calibri"/>
        </w:rPr>
        <w:t>ω</w:t>
      </w:r>
      <w:r w:rsidR="002E52E0">
        <w:rPr>
          <w:rFonts w:cs="Calibri"/>
        </w:rPr>
        <w:t xml:space="preserve"> αύξησης της εγκατεστημένης ισχύος στη χώρα</w:t>
      </w:r>
      <w:r w:rsidR="009A34F3">
        <w:rPr>
          <w:rFonts w:cs="Calibri"/>
        </w:rPr>
        <w:t xml:space="preserve"> </w:t>
      </w:r>
      <w:r w:rsidR="002E52E0">
        <w:rPr>
          <w:rFonts w:cs="Calibri"/>
        </w:rPr>
        <w:t xml:space="preserve">και τις αυξημένες εισαγωγές, </w:t>
      </w:r>
      <w:r w:rsidR="009A34F3">
        <w:rPr>
          <w:rFonts w:cs="Calibri"/>
        </w:rPr>
        <w:t>οδήγησ</w:t>
      </w:r>
      <w:r w:rsidR="00BD20FC">
        <w:rPr>
          <w:rFonts w:cs="Calibri"/>
        </w:rPr>
        <w:t>αν</w:t>
      </w:r>
      <w:r w:rsidR="009A34F3">
        <w:rPr>
          <w:rFonts w:cs="Calibri"/>
        </w:rPr>
        <w:t xml:space="preserve"> σε με</w:t>
      </w:r>
      <w:r w:rsidR="002E52E0">
        <w:rPr>
          <w:rFonts w:cs="Calibri"/>
        </w:rPr>
        <w:t>ί</w:t>
      </w:r>
      <w:r w:rsidR="009A34F3">
        <w:rPr>
          <w:rFonts w:cs="Calibri"/>
        </w:rPr>
        <w:t>ω</w:t>
      </w:r>
      <w:r w:rsidR="002E52E0">
        <w:rPr>
          <w:rFonts w:cs="Calibri"/>
        </w:rPr>
        <w:t>ση της</w:t>
      </w:r>
      <w:r w:rsidR="009A34F3">
        <w:rPr>
          <w:rFonts w:cs="Calibri"/>
        </w:rPr>
        <w:t xml:space="preserve"> παραγωγή</w:t>
      </w:r>
      <w:r w:rsidR="002E52E0">
        <w:rPr>
          <w:rFonts w:cs="Calibri"/>
        </w:rPr>
        <w:t>ς</w:t>
      </w:r>
      <w:r w:rsidR="009A34F3">
        <w:rPr>
          <w:rFonts w:cs="Calibri"/>
        </w:rPr>
        <w:t xml:space="preserve"> από μονάδες φυσικού αερίου. </w:t>
      </w:r>
      <w:r w:rsidR="006B036E">
        <w:rPr>
          <w:rFonts w:cs="Calibri"/>
        </w:rPr>
        <w:t xml:space="preserve">Στον τομέα της προμήθειας, παρά τη μειωμένη ζήτηση, η ΗΡΩΝ ΕΝΕΡΓΕΙΑΚΗ κατάφερε να αυξήσει το μερίδιο αγοράς της </w:t>
      </w:r>
      <w:r w:rsidR="00222BC2" w:rsidRPr="00222BC2">
        <w:rPr>
          <w:rFonts w:cs="Calibri"/>
        </w:rPr>
        <w:t>(7</w:t>
      </w:r>
      <w:r w:rsidR="00DA639E">
        <w:rPr>
          <w:rFonts w:cs="Calibri"/>
        </w:rPr>
        <w:t>,</w:t>
      </w:r>
      <w:r w:rsidR="00222BC2" w:rsidRPr="00222BC2">
        <w:rPr>
          <w:rFonts w:cs="Calibri"/>
        </w:rPr>
        <w:t xml:space="preserve">53% </w:t>
      </w:r>
      <w:r w:rsidR="00222BC2">
        <w:rPr>
          <w:rFonts w:cs="Calibri"/>
        </w:rPr>
        <w:t xml:space="preserve">για το διασυνδεδεμένο σύστημα τον Μάρτιο) </w:t>
      </w:r>
      <w:r w:rsidR="006B036E">
        <w:rPr>
          <w:rFonts w:cs="Calibri"/>
        </w:rPr>
        <w:t xml:space="preserve">με αποτέλεσμα μια οριακή </w:t>
      </w:r>
      <w:r w:rsidR="00222BC2">
        <w:rPr>
          <w:rFonts w:cs="Calibri"/>
        </w:rPr>
        <w:t xml:space="preserve">μόνο </w:t>
      </w:r>
      <w:r w:rsidR="006B036E">
        <w:rPr>
          <w:rFonts w:cs="Calibri"/>
        </w:rPr>
        <w:t xml:space="preserve">μείωση στους όγκους πωλήσεων. </w:t>
      </w:r>
    </w:p>
    <w:p w14:paraId="3EEEAE27" w14:textId="16FEA704" w:rsidR="00D451C6" w:rsidRDefault="00981932" w:rsidP="00D451C6">
      <w:pPr>
        <w:spacing w:after="0"/>
        <w:jc w:val="both"/>
        <w:rPr>
          <w:rFonts w:eastAsia="Times New Roman" w:cs="Calibri"/>
          <w:color w:val="000000"/>
        </w:rPr>
      </w:pPr>
      <w:r>
        <w:rPr>
          <w:rFonts w:eastAsia="Times New Roman" w:cs="Calibri"/>
          <w:b/>
          <w:bCs/>
          <w:color w:val="000000"/>
        </w:rPr>
        <w:t>Η εγκατεστημένη ισχύς του Ομίλου από ΑΠΕ αυξήθηκε σε 1.</w:t>
      </w:r>
      <w:r w:rsidRPr="00772BC0">
        <w:rPr>
          <w:rFonts w:eastAsia="Times New Roman" w:cs="Calibri"/>
          <w:b/>
          <w:bCs/>
          <w:color w:val="000000"/>
        </w:rPr>
        <w:t>1</w:t>
      </w:r>
      <w:r w:rsidRPr="005F1B7D">
        <w:rPr>
          <w:rFonts w:eastAsia="Times New Roman" w:cs="Calibri"/>
          <w:b/>
          <w:bCs/>
          <w:color w:val="000000"/>
        </w:rPr>
        <w:t>41</w:t>
      </w:r>
      <w:r>
        <w:rPr>
          <w:rFonts w:eastAsia="Times New Roman" w:cs="Calibri"/>
          <w:b/>
          <w:bCs/>
          <w:color w:val="000000"/>
        </w:rPr>
        <w:t xml:space="preserve"> </w:t>
      </w:r>
      <w:r>
        <w:rPr>
          <w:rFonts w:eastAsia="Times New Roman" w:cs="Calibri"/>
          <w:b/>
          <w:bCs/>
          <w:color w:val="000000"/>
          <w:lang w:val="en-GB"/>
        </w:rPr>
        <w:t>MW</w:t>
      </w:r>
      <w:r>
        <w:rPr>
          <w:rFonts w:eastAsia="Times New Roman" w:cs="Calibri"/>
          <w:b/>
          <w:bCs/>
          <w:color w:val="000000"/>
        </w:rPr>
        <w:t xml:space="preserve"> μέχρι τα μέσα Μαΐου, συμπεριλαμβάνοντας πλέον 245</w:t>
      </w:r>
      <w:r w:rsidR="00BD20FC">
        <w:rPr>
          <w:rFonts w:eastAsia="Times New Roman" w:cs="Calibri"/>
          <w:b/>
          <w:bCs/>
          <w:color w:val="000000"/>
        </w:rPr>
        <w:t xml:space="preserve"> </w:t>
      </w:r>
      <w:r>
        <w:rPr>
          <w:rFonts w:eastAsia="Times New Roman" w:cs="Calibri"/>
          <w:b/>
          <w:bCs/>
          <w:color w:val="000000"/>
          <w:lang w:val="en-GB"/>
        </w:rPr>
        <w:t>MW</w:t>
      </w:r>
      <w:r w:rsidRPr="00772BC0">
        <w:rPr>
          <w:rFonts w:eastAsia="Times New Roman" w:cs="Calibri"/>
          <w:b/>
          <w:bCs/>
          <w:color w:val="000000"/>
        </w:rPr>
        <w:t xml:space="preserve"> </w:t>
      </w:r>
      <w:r w:rsidR="00BD20FC">
        <w:rPr>
          <w:rFonts w:eastAsia="Times New Roman" w:cs="Calibri"/>
          <w:b/>
          <w:bCs/>
          <w:color w:val="000000"/>
        </w:rPr>
        <w:t xml:space="preserve">από τα νέα αιολικά πάρκα </w:t>
      </w:r>
      <w:r>
        <w:rPr>
          <w:rFonts w:eastAsia="Times New Roman" w:cs="Calibri"/>
          <w:b/>
          <w:bCs/>
          <w:color w:val="000000"/>
        </w:rPr>
        <w:t>που έχουν ήδη ανεγερθεί στην Εύβοια</w:t>
      </w:r>
      <w:r w:rsidR="00BD20FC">
        <w:rPr>
          <w:rFonts w:eastAsia="Times New Roman" w:cs="Calibri"/>
          <w:b/>
          <w:bCs/>
          <w:color w:val="000000"/>
        </w:rPr>
        <w:t xml:space="preserve"> </w:t>
      </w:r>
      <w:r w:rsidR="00BD20FC">
        <w:rPr>
          <w:rFonts w:eastAsia="Times New Roman" w:cs="Calibri"/>
          <w:color w:val="000000"/>
        </w:rPr>
        <w:t>(74% του συνόλου του έργου)</w:t>
      </w:r>
      <w:r w:rsidRPr="00E925D0">
        <w:rPr>
          <w:rFonts w:eastAsia="Times New Roman" w:cs="Calibri"/>
          <w:b/>
          <w:bCs/>
          <w:color w:val="000000"/>
        </w:rPr>
        <w:t>,</w:t>
      </w:r>
      <w:r w:rsidRPr="00772BC0">
        <w:rPr>
          <w:rFonts w:eastAsia="Times New Roman" w:cs="Calibri"/>
          <w:b/>
          <w:bCs/>
          <w:color w:val="000000"/>
        </w:rPr>
        <w:t xml:space="preserve"> </w:t>
      </w:r>
      <w:r w:rsidRPr="00222BC2">
        <w:rPr>
          <w:rFonts w:eastAsia="Times New Roman" w:cs="Calibri"/>
          <w:color w:val="000000"/>
        </w:rPr>
        <w:t xml:space="preserve">έναντι </w:t>
      </w:r>
      <w:r w:rsidR="002069B3">
        <w:rPr>
          <w:rFonts w:eastAsia="Times New Roman" w:cs="Calibri"/>
          <w:color w:val="000000"/>
        </w:rPr>
        <w:t xml:space="preserve"> </w:t>
      </w:r>
      <w:r w:rsidRPr="00222BC2">
        <w:rPr>
          <w:rFonts w:eastAsia="Times New Roman" w:cs="Calibri"/>
          <w:color w:val="000000"/>
        </w:rPr>
        <w:t xml:space="preserve">συνολικής εγκατεστημένης ισχύος 906 </w:t>
      </w:r>
      <w:r w:rsidRPr="00222BC2">
        <w:rPr>
          <w:rFonts w:eastAsia="Times New Roman" w:cs="Calibri"/>
          <w:color w:val="000000"/>
          <w:lang w:val="en-GB"/>
        </w:rPr>
        <w:t>MW</w:t>
      </w:r>
      <w:r w:rsidRPr="00222BC2">
        <w:rPr>
          <w:rFonts w:eastAsia="Times New Roman" w:cs="Calibri"/>
          <w:color w:val="000000"/>
        </w:rPr>
        <w:t xml:space="preserve"> στο τέλος του 2022</w:t>
      </w:r>
      <w:r w:rsidR="00222BC2" w:rsidRPr="00222BC2">
        <w:rPr>
          <w:rFonts w:eastAsia="Times New Roman" w:cs="Calibri"/>
          <w:color w:val="000000"/>
        </w:rPr>
        <w:t xml:space="preserve"> (περιλάμβαναν 10</w:t>
      </w:r>
      <w:r w:rsidR="00BD20FC">
        <w:rPr>
          <w:rFonts w:eastAsia="Times New Roman" w:cs="Calibri"/>
          <w:color w:val="000000"/>
        </w:rPr>
        <w:t xml:space="preserve"> </w:t>
      </w:r>
      <w:r w:rsidR="00222BC2" w:rsidRPr="00222BC2">
        <w:rPr>
          <w:rFonts w:eastAsia="Times New Roman" w:cs="Calibri"/>
          <w:color w:val="000000"/>
          <w:lang w:val="en-GB"/>
        </w:rPr>
        <w:t>MW</w:t>
      </w:r>
      <w:r w:rsidR="00222BC2" w:rsidRPr="00222BC2">
        <w:rPr>
          <w:rFonts w:eastAsia="Times New Roman" w:cs="Calibri"/>
          <w:color w:val="000000"/>
        </w:rPr>
        <w:t xml:space="preserve"> από τα νέα έργα)</w:t>
      </w:r>
      <w:r w:rsidRPr="00222BC2">
        <w:rPr>
          <w:rFonts w:eastAsia="Times New Roman" w:cs="Calibri"/>
          <w:color w:val="000000"/>
        </w:rPr>
        <w:t>.</w:t>
      </w:r>
      <w:r w:rsidRPr="00B67358">
        <w:rPr>
          <w:rFonts w:eastAsia="Times New Roman" w:cs="Calibri"/>
          <w:color w:val="000000"/>
        </w:rPr>
        <w:t xml:space="preserve"> Ακόμα προχωράει σύμφωνα με το χρονοδιάγραμμ</w:t>
      </w:r>
      <w:r w:rsidR="00BD20FC">
        <w:rPr>
          <w:rFonts w:eastAsia="Times New Roman" w:cs="Calibri"/>
          <w:color w:val="000000"/>
        </w:rPr>
        <w:t>α</w:t>
      </w:r>
      <w:r w:rsidRPr="00B67358">
        <w:rPr>
          <w:rFonts w:eastAsia="Times New Roman" w:cs="Calibri"/>
          <w:color w:val="000000"/>
        </w:rPr>
        <w:t xml:space="preserve"> η κατασκευή του έργου της </w:t>
      </w:r>
      <w:proofErr w:type="spellStart"/>
      <w:r w:rsidRPr="00B67358">
        <w:rPr>
          <w:rFonts w:eastAsia="Times New Roman" w:cs="Calibri"/>
          <w:color w:val="000000"/>
        </w:rPr>
        <w:t>αντλ</w:t>
      </w:r>
      <w:r w:rsidR="00BD20FC">
        <w:rPr>
          <w:rFonts w:eastAsia="Times New Roman" w:cs="Calibri"/>
          <w:color w:val="000000"/>
        </w:rPr>
        <w:t>η</w:t>
      </w:r>
      <w:r w:rsidRPr="00B67358">
        <w:rPr>
          <w:rFonts w:eastAsia="Times New Roman" w:cs="Calibri"/>
          <w:color w:val="000000"/>
        </w:rPr>
        <w:t>σ</w:t>
      </w:r>
      <w:r w:rsidR="00BD20FC">
        <w:rPr>
          <w:rFonts w:eastAsia="Times New Roman" w:cs="Calibri"/>
          <w:color w:val="000000"/>
        </w:rPr>
        <w:t>ι</w:t>
      </w:r>
      <w:r w:rsidRPr="00B67358">
        <w:rPr>
          <w:rFonts w:eastAsia="Times New Roman" w:cs="Calibri"/>
          <w:color w:val="000000"/>
        </w:rPr>
        <w:t>οταμίευσης</w:t>
      </w:r>
      <w:proofErr w:type="spellEnd"/>
      <w:r w:rsidRPr="00B67358">
        <w:rPr>
          <w:rFonts w:eastAsia="Times New Roman" w:cs="Calibri"/>
          <w:color w:val="000000"/>
        </w:rPr>
        <w:t xml:space="preserve"> στην Αμφιλοχία</w:t>
      </w:r>
      <w:r>
        <w:rPr>
          <w:rFonts w:eastAsia="Times New Roman" w:cs="Calibri"/>
          <w:color w:val="000000"/>
        </w:rPr>
        <w:t xml:space="preserve"> (</w:t>
      </w:r>
      <w:r w:rsidRPr="00D55841">
        <w:rPr>
          <w:rFonts w:eastAsia="Times New Roman" w:cs="Calibri"/>
          <w:color w:val="000000"/>
        </w:rPr>
        <w:t>680</w:t>
      </w:r>
      <w:r w:rsidR="00BD20FC">
        <w:rPr>
          <w:rFonts w:eastAsia="Times New Roman" w:cs="Calibri"/>
          <w:color w:val="000000"/>
        </w:rPr>
        <w:t xml:space="preserve"> </w:t>
      </w:r>
      <w:r>
        <w:rPr>
          <w:rFonts w:eastAsia="Times New Roman" w:cs="Calibri"/>
          <w:color w:val="000000"/>
          <w:lang w:val="en-GB"/>
        </w:rPr>
        <w:t>MW</w:t>
      </w:r>
      <w:r w:rsidRPr="00D55841">
        <w:rPr>
          <w:rFonts w:eastAsia="Times New Roman" w:cs="Calibri"/>
          <w:color w:val="000000"/>
        </w:rPr>
        <w:t>)</w:t>
      </w:r>
      <w:r>
        <w:rPr>
          <w:rFonts w:eastAsia="Times New Roman" w:cs="Calibri"/>
          <w:color w:val="000000"/>
        </w:rPr>
        <w:t>, ενώ</w:t>
      </w:r>
      <w:r w:rsidRPr="00B67358">
        <w:rPr>
          <w:rFonts w:eastAsia="Times New Roman" w:cs="Calibri"/>
          <w:color w:val="000000"/>
        </w:rPr>
        <w:t xml:space="preserve"> </w:t>
      </w:r>
      <w:r>
        <w:rPr>
          <w:rFonts w:eastAsia="Times New Roman" w:cs="Calibri"/>
          <w:color w:val="000000"/>
        </w:rPr>
        <w:t xml:space="preserve">σημαντική ισχύς </w:t>
      </w:r>
      <w:r w:rsidRPr="00B67358">
        <w:rPr>
          <w:rFonts w:eastAsia="Times New Roman" w:cs="Calibri"/>
          <w:color w:val="000000"/>
        </w:rPr>
        <w:t>νέων έργων στην Ελλάδα</w:t>
      </w:r>
      <w:r w:rsidR="009D6A0F" w:rsidRPr="009D6A0F">
        <w:rPr>
          <w:rFonts w:eastAsia="Times New Roman" w:cs="Calibri"/>
          <w:color w:val="000000"/>
        </w:rPr>
        <w:t xml:space="preserve"> </w:t>
      </w:r>
      <w:r w:rsidR="009D6A0F">
        <w:rPr>
          <w:rFonts w:eastAsia="Times New Roman" w:cs="Calibri"/>
          <w:color w:val="000000"/>
        </w:rPr>
        <w:t>και το εξωτερικό</w:t>
      </w:r>
      <w:r w:rsidRPr="00B67358">
        <w:rPr>
          <w:rFonts w:eastAsia="Times New Roman" w:cs="Calibri"/>
          <w:color w:val="000000"/>
        </w:rPr>
        <w:t xml:space="preserve"> (κυρίως </w:t>
      </w:r>
      <w:proofErr w:type="spellStart"/>
      <w:r w:rsidRPr="00B67358">
        <w:rPr>
          <w:rFonts w:eastAsia="Times New Roman" w:cs="Calibri"/>
          <w:color w:val="000000"/>
        </w:rPr>
        <w:t>φωτοβολτα</w:t>
      </w:r>
      <w:r w:rsidR="00BD20FC">
        <w:rPr>
          <w:rFonts w:eastAsia="Times New Roman" w:cs="Calibri"/>
          <w:color w:val="000000"/>
        </w:rPr>
        <w:t>ϊ</w:t>
      </w:r>
      <w:r w:rsidRPr="00B67358">
        <w:rPr>
          <w:rFonts w:eastAsia="Times New Roman" w:cs="Calibri"/>
          <w:color w:val="000000"/>
        </w:rPr>
        <w:t>κών</w:t>
      </w:r>
      <w:proofErr w:type="spellEnd"/>
      <w:r w:rsidRPr="00B67358">
        <w:rPr>
          <w:rFonts w:eastAsia="Times New Roman" w:cs="Calibri"/>
          <w:color w:val="000000"/>
        </w:rPr>
        <w:t xml:space="preserve">) είναι έτοιμα </w:t>
      </w:r>
      <w:r w:rsidR="00BD20FC">
        <w:rPr>
          <w:rFonts w:eastAsia="Times New Roman" w:cs="Calibri"/>
          <w:color w:val="000000"/>
        </w:rPr>
        <w:t>προς</w:t>
      </w:r>
      <w:r w:rsidRPr="00B67358">
        <w:rPr>
          <w:rFonts w:eastAsia="Times New Roman" w:cs="Calibri"/>
          <w:color w:val="000000"/>
        </w:rPr>
        <w:t xml:space="preserve"> κατασκευή</w:t>
      </w:r>
      <w:r>
        <w:rPr>
          <w:rFonts w:eastAsia="Times New Roman" w:cs="Calibri"/>
          <w:color w:val="000000"/>
        </w:rPr>
        <w:t xml:space="preserve">. </w:t>
      </w:r>
      <w:r w:rsidR="00D451C6">
        <w:rPr>
          <w:rFonts w:eastAsia="Times New Roman" w:cs="Calibri"/>
          <w:b/>
          <w:bCs/>
          <w:color w:val="000000"/>
        </w:rPr>
        <w:t>Ως</w:t>
      </w:r>
      <w:r w:rsidR="00D451C6" w:rsidRPr="005B614C">
        <w:rPr>
          <w:rFonts w:eastAsia="Times New Roman" w:cs="Calibri"/>
          <w:b/>
          <w:bCs/>
          <w:color w:val="000000"/>
        </w:rPr>
        <w:t xml:space="preserve"> αποτέλεσμα η</w:t>
      </w:r>
      <w:r w:rsidR="00D451C6">
        <w:rPr>
          <w:rFonts w:eastAsia="Times New Roman" w:cs="Calibri"/>
          <w:b/>
          <w:bCs/>
          <w:color w:val="000000"/>
        </w:rPr>
        <w:t xml:space="preserve"> συνολική ισχύς έργων σε λειτουργία, υπό κατασκευή και έτοιμων προς κατασκευή ξεπερνάει τα 2</w:t>
      </w:r>
      <w:r w:rsidR="00D451C6" w:rsidRPr="00B67358">
        <w:rPr>
          <w:rFonts w:eastAsia="Times New Roman" w:cs="Calibri"/>
          <w:b/>
          <w:bCs/>
          <w:color w:val="000000"/>
        </w:rPr>
        <w:t>.</w:t>
      </w:r>
      <w:r w:rsidR="00D451C6">
        <w:rPr>
          <w:rFonts w:eastAsia="Times New Roman" w:cs="Calibri"/>
          <w:b/>
          <w:bCs/>
          <w:color w:val="000000"/>
        </w:rPr>
        <w:t>0</w:t>
      </w:r>
      <w:r w:rsidR="00D451C6" w:rsidRPr="00B67358">
        <w:rPr>
          <w:rFonts w:eastAsia="Times New Roman" w:cs="Calibri"/>
          <w:b/>
          <w:bCs/>
          <w:color w:val="000000"/>
        </w:rPr>
        <w:t xml:space="preserve">00 </w:t>
      </w:r>
      <w:r w:rsidR="00D451C6">
        <w:rPr>
          <w:rFonts w:eastAsia="Times New Roman" w:cs="Calibri"/>
          <w:b/>
          <w:bCs/>
          <w:color w:val="000000"/>
          <w:lang w:val="en-US"/>
        </w:rPr>
        <w:t>MW</w:t>
      </w:r>
      <w:r w:rsidR="00D451C6" w:rsidRPr="00D55841">
        <w:rPr>
          <w:rFonts w:eastAsia="Times New Roman" w:cs="Calibri"/>
          <w:b/>
          <w:bCs/>
          <w:color w:val="000000"/>
        </w:rPr>
        <w:t xml:space="preserve"> </w:t>
      </w:r>
      <w:r w:rsidR="00D451C6">
        <w:rPr>
          <w:rFonts w:eastAsia="Times New Roman" w:cs="Calibri"/>
          <w:b/>
          <w:bCs/>
          <w:color w:val="000000"/>
        </w:rPr>
        <w:t>τη συγκεκριμένη περίοδο</w:t>
      </w:r>
      <w:r w:rsidR="00D451C6" w:rsidRPr="00B67358">
        <w:rPr>
          <w:rFonts w:eastAsia="Times New Roman" w:cs="Calibri"/>
          <w:b/>
          <w:bCs/>
          <w:color w:val="000000"/>
        </w:rPr>
        <w:t>.</w:t>
      </w:r>
    </w:p>
    <w:p w14:paraId="25C4ED12" w14:textId="77777777" w:rsidR="00D451C6" w:rsidRDefault="00D451C6" w:rsidP="00D451C6">
      <w:pPr>
        <w:spacing w:after="0"/>
        <w:jc w:val="both"/>
        <w:rPr>
          <w:rFonts w:eastAsia="Times New Roman" w:cs="Calibri"/>
          <w:color w:val="000000"/>
        </w:rPr>
      </w:pPr>
    </w:p>
    <w:p w14:paraId="7346394A" w14:textId="5435FACF" w:rsidR="00D451C6" w:rsidRDefault="00981932" w:rsidP="00D451C6">
      <w:pPr>
        <w:spacing w:after="0"/>
        <w:jc w:val="both"/>
        <w:rPr>
          <w:rFonts w:eastAsia="Times New Roman" w:cs="Calibri"/>
          <w:color w:val="000000"/>
        </w:rPr>
      </w:pPr>
      <w:r w:rsidRPr="00222BC2">
        <w:rPr>
          <w:rFonts w:eastAsia="Times New Roman" w:cs="Calibri"/>
          <w:color w:val="000000"/>
        </w:rPr>
        <w:t xml:space="preserve">Σημειώνεται ότι το πρώτο τρίμηνο του 2023 χαρακτηρίστηκε από αδύναμες </w:t>
      </w:r>
      <w:proofErr w:type="spellStart"/>
      <w:r w:rsidRPr="00222BC2">
        <w:rPr>
          <w:rFonts w:eastAsia="Times New Roman" w:cs="Calibri"/>
          <w:color w:val="000000"/>
        </w:rPr>
        <w:t>ανεμολογικές</w:t>
      </w:r>
      <w:proofErr w:type="spellEnd"/>
      <w:r w:rsidRPr="00222BC2">
        <w:rPr>
          <w:rFonts w:eastAsia="Times New Roman" w:cs="Calibri"/>
          <w:color w:val="000000"/>
        </w:rPr>
        <w:t xml:space="preserve"> συνθήκες έναντι μιας πολύ ισχυρής περιόδου κατά το πρώτο τρίμηνο του 2022. Πιο συγκεκριμένα</w:t>
      </w:r>
      <w:r w:rsidR="00BD20FC">
        <w:rPr>
          <w:rFonts w:eastAsia="Times New Roman" w:cs="Calibri"/>
          <w:color w:val="000000"/>
        </w:rPr>
        <w:t>,</w:t>
      </w:r>
      <w:r w:rsidRPr="00222BC2">
        <w:rPr>
          <w:rFonts w:eastAsia="Times New Roman" w:cs="Calibri"/>
          <w:color w:val="000000"/>
        </w:rPr>
        <w:t xml:space="preserve"> ο συντελεστής φόρτισης του συνολικού χαρτοφυλακίου </w:t>
      </w:r>
      <w:r w:rsidR="00BD20FC">
        <w:rPr>
          <w:rFonts w:eastAsia="Times New Roman" w:cs="Calibri"/>
          <w:color w:val="000000"/>
        </w:rPr>
        <w:t>διαμορφώθηκε</w:t>
      </w:r>
      <w:r w:rsidRPr="00222BC2">
        <w:rPr>
          <w:rFonts w:eastAsia="Times New Roman" w:cs="Calibri"/>
          <w:color w:val="000000"/>
        </w:rPr>
        <w:t xml:space="preserve"> σε 32,5% έναντι 36,5% το αντίστοιχο τρίμηνο του 2022</w:t>
      </w:r>
      <w:r w:rsidR="00BD20FC">
        <w:rPr>
          <w:rFonts w:eastAsia="Times New Roman" w:cs="Calibri"/>
          <w:color w:val="000000"/>
        </w:rPr>
        <w:t>, γεγονός που είχε ως</w:t>
      </w:r>
      <w:r w:rsidRPr="00222BC2">
        <w:rPr>
          <w:rFonts w:eastAsia="Times New Roman" w:cs="Calibri"/>
          <w:color w:val="000000"/>
        </w:rPr>
        <w:t xml:space="preserve"> συνέπεια την μείωση της παραγωγής. </w:t>
      </w:r>
      <w:r w:rsidR="00D451C6" w:rsidRPr="00A57AE3">
        <w:rPr>
          <w:rFonts w:eastAsia="Times New Roman" w:cs="Calibri"/>
          <w:color w:val="000000"/>
        </w:rPr>
        <w:t>Ο</w:t>
      </w:r>
      <w:r w:rsidR="00D451C6">
        <w:rPr>
          <w:rFonts w:eastAsia="Times New Roman" w:cs="Calibri"/>
          <w:color w:val="000000"/>
        </w:rPr>
        <w:t xml:space="preserve">ι αδύναμες </w:t>
      </w:r>
      <w:proofErr w:type="spellStart"/>
      <w:r w:rsidR="00D451C6">
        <w:rPr>
          <w:rFonts w:eastAsia="Times New Roman" w:cs="Calibri"/>
          <w:color w:val="000000"/>
        </w:rPr>
        <w:t>ανεμολογικές</w:t>
      </w:r>
      <w:proofErr w:type="spellEnd"/>
      <w:r w:rsidR="00D451C6">
        <w:rPr>
          <w:rFonts w:eastAsia="Times New Roman" w:cs="Calibri"/>
          <w:color w:val="000000"/>
        </w:rPr>
        <w:t xml:space="preserve"> συνθήκες που παρατηρήθηκαν (έναντι των πολύ ενισχυμένων κατά το πρώτο τρίμηνο του περασμένου έτους) είναι συμβατές με τη στοχαστικότατα που διέπει την παραγωγή από αιολικά πάρκα και λαμβάνεται υπόψιν σε κάθε μοντέλο πρόβλεψης, χωρίς να επηρεάζει τη μακροχρόνια απόδοση των έργων. </w:t>
      </w:r>
    </w:p>
    <w:p w14:paraId="282761C5" w14:textId="6810AE1D" w:rsidR="00981932" w:rsidRDefault="00981932" w:rsidP="00981932">
      <w:pPr>
        <w:spacing w:after="0"/>
        <w:jc w:val="both"/>
        <w:rPr>
          <w:rFonts w:eastAsia="Times New Roman" w:cs="Calibri"/>
          <w:color w:val="000000"/>
        </w:rPr>
      </w:pPr>
    </w:p>
    <w:p w14:paraId="1CB68350" w14:textId="77777777" w:rsidR="002E52E0" w:rsidRDefault="002E52E0" w:rsidP="00981932">
      <w:pPr>
        <w:spacing w:after="0"/>
        <w:jc w:val="both"/>
        <w:rPr>
          <w:rFonts w:eastAsia="Times New Roman" w:cs="Calibri"/>
          <w:color w:val="000000"/>
        </w:rPr>
      </w:pPr>
    </w:p>
    <w:p w14:paraId="28A6F7FB" w14:textId="77777777" w:rsidR="002E52E0" w:rsidRPr="00222BC2" w:rsidRDefault="002E52E0" w:rsidP="00981932">
      <w:pPr>
        <w:spacing w:after="0"/>
        <w:jc w:val="both"/>
        <w:rPr>
          <w:rFonts w:eastAsia="Times New Roman" w:cs="Calibri"/>
          <w:color w:val="000000"/>
        </w:rPr>
      </w:pPr>
    </w:p>
    <w:p w14:paraId="6D9C543C" w14:textId="77777777" w:rsidR="00DC617D" w:rsidRDefault="00DC617D" w:rsidP="00AB5A93">
      <w:pPr>
        <w:spacing w:before="240" w:after="120"/>
        <w:jc w:val="both"/>
        <w:rPr>
          <w:rFonts w:asciiTheme="minorHAnsi" w:eastAsia="Times New Roman" w:hAnsiTheme="minorHAnsi" w:cstheme="minorHAnsi"/>
          <w:b/>
          <w:bCs/>
          <w:u w:val="single"/>
        </w:rPr>
      </w:pPr>
    </w:p>
    <w:p w14:paraId="2C32015D" w14:textId="77777777" w:rsidR="00890BF8" w:rsidRDefault="00890BF8" w:rsidP="00AB5A93">
      <w:pPr>
        <w:jc w:val="both"/>
        <w:rPr>
          <w:rFonts w:eastAsia="Times New Roman" w:cs="Calibri"/>
          <w:b/>
          <w:i/>
          <w:sz w:val="18"/>
          <w:szCs w:val="18"/>
          <w:u w:val="single"/>
        </w:rPr>
      </w:pPr>
    </w:p>
    <w:p w14:paraId="59ED9DDA" w14:textId="77777777" w:rsidR="00DC617D" w:rsidRDefault="00DC617D" w:rsidP="00AB5A93">
      <w:pPr>
        <w:jc w:val="both"/>
        <w:rPr>
          <w:rFonts w:eastAsia="Times New Roman" w:cs="Calibri"/>
          <w:b/>
          <w:i/>
          <w:sz w:val="18"/>
          <w:szCs w:val="18"/>
          <w:u w:val="single"/>
        </w:rPr>
      </w:pPr>
    </w:p>
    <w:p w14:paraId="29386A83" w14:textId="77777777" w:rsidR="002E52E0" w:rsidRDefault="002E52E0" w:rsidP="00AB5A93">
      <w:pPr>
        <w:jc w:val="both"/>
        <w:rPr>
          <w:rFonts w:eastAsia="Times New Roman" w:cs="Calibri"/>
          <w:b/>
          <w:i/>
          <w:sz w:val="18"/>
          <w:szCs w:val="18"/>
          <w:u w:val="single"/>
        </w:rPr>
      </w:pPr>
    </w:p>
    <w:p w14:paraId="5CB17092" w14:textId="77777777" w:rsidR="002E52E0" w:rsidRDefault="002E52E0" w:rsidP="00AB5A93">
      <w:pPr>
        <w:jc w:val="both"/>
        <w:rPr>
          <w:rFonts w:eastAsia="Times New Roman" w:cs="Calibri"/>
          <w:b/>
          <w:i/>
          <w:sz w:val="18"/>
          <w:szCs w:val="18"/>
          <w:u w:val="single"/>
        </w:rPr>
      </w:pPr>
    </w:p>
    <w:p w14:paraId="555C9F90" w14:textId="77777777" w:rsidR="002E52E0" w:rsidRDefault="002E52E0" w:rsidP="00AB5A93">
      <w:pPr>
        <w:jc w:val="both"/>
        <w:rPr>
          <w:rFonts w:eastAsia="Times New Roman" w:cs="Calibri"/>
          <w:b/>
          <w:i/>
          <w:sz w:val="18"/>
          <w:szCs w:val="18"/>
          <w:u w:val="single"/>
        </w:rPr>
      </w:pPr>
    </w:p>
    <w:p w14:paraId="06788F7A" w14:textId="77777777" w:rsidR="00DC617D" w:rsidRDefault="00DC617D" w:rsidP="00AB5A93">
      <w:pPr>
        <w:jc w:val="both"/>
        <w:rPr>
          <w:rFonts w:eastAsia="Times New Roman" w:cs="Calibri"/>
          <w:b/>
          <w:i/>
          <w:sz w:val="18"/>
          <w:szCs w:val="18"/>
          <w:u w:val="single"/>
        </w:rPr>
      </w:pPr>
    </w:p>
    <w:p w14:paraId="54D30653" w14:textId="77777777" w:rsidR="00DC617D" w:rsidRDefault="00DC617D" w:rsidP="00AB5A93">
      <w:pPr>
        <w:jc w:val="both"/>
        <w:rPr>
          <w:rFonts w:eastAsia="Times New Roman" w:cs="Calibri"/>
          <w:b/>
          <w:i/>
          <w:sz w:val="18"/>
          <w:szCs w:val="18"/>
          <w:u w:val="single"/>
        </w:rPr>
      </w:pPr>
    </w:p>
    <w:p w14:paraId="5BE9FD56" w14:textId="0BA0A04B" w:rsidR="00505C70" w:rsidRPr="00E93504" w:rsidRDefault="00505C70" w:rsidP="00AB5A93">
      <w:pPr>
        <w:jc w:val="both"/>
        <w:rPr>
          <w:rFonts w:eastAsia="Times New Roman" w:cs="Calibri"/>
          <w:b/>
          <w:i/>
          <w:sz w:val="18"/>
          <w:szCs w:val="18"/>
          <w:u w:val="single"/>
        </w:rPr>
      </w:pPr>
      <w:r w:rsidRPr="00E93504">
        <w:rPr>
          <w:rFonts w:eastAsia="Times New Roman" w:cs="Calibri"/>
          <w:b/>
          <w:i/>
          <w:sz w:val="18"/>
          <w:szCs w:val="18"/>
          <w:u w:val="single"/>
        </w:rPr>
        <w:t xml:space="preserve">Πληροφορίες: </w:t>
      </w:r>
    </w:p>
    <w:p w14:paraId="3AA8ABB4" w14:textId="261B4EDC" w:rsidR="00505C70" w:rsidRPr="00E93504" w:rsidRDefault="00505C70" w:rsidP="00AB5A93">
      <w:pPr>
        <w:jc w:val="both"/>
        <w:rPr>
          <w:rFonts w:cs="Calibri"/>
          <w:sz w:val="18"/>
          <w:szCs w:val="18"/>
        </w:rPr>
      </w:pPr>
      <w:r w:rsidRPr="00E93504">
        <w:rPr>
          <w:rFonts w:cs="Calibri"/>
          <w:noProof/>
          <w:sz w:val="18"/>
          <w:szCs w:val="18"/>
          <w:lang w:eastAsia="el-GR"/>
        </w:rPr>
        <mc:AlternateContent>
          <mc:Choice Requires="wps">
            <w:drawing>
              <wp:anchor distT="0" distB="0" distL="114300" distR="114300" simplePos="0" relativeHeight="251662336" behindDoc="0" locked="0" layoutInCell="1" allowOverlap="1" wp14:anchorId="793FBA10" wp14:editId="44D1223D">
                <wp:simplePos x="0" y="0"/>
                <wp:positionH relativeFrom="column">
                  <wp:posOffset>-65405</wp:posOffset>
                </wp:positionH>
                <wp:positionV relativeFrom="paragraph">
                  <wp:posOffset>9466580</wp:posOffset>
                </wp:positionV>
                <wp:extent cx="1334770" cy="2940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38E6C955"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BA10" id="_x0000_t202" coordsize="21600,21600" o:spt="202" path="m,l,21600r21600,l21600,xe">
                <v:stroke joinstyle="miter"/>
                <v:path gradientshapeok="t" o:connecttype="rect"/>
              </v:shapetype>
              <v:shape id="Text Box 5" o:spid="_x0000_s1026" type="#_x0000_t202" style="position:absolute;left:0;text-align:left;margin-left:-5.15pt;margin-top:745.4pt;width:105.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" filled="f" stroked="f">
                <v:textbox>
                  <w:txbxContent>
                    <w:p w14:paraId="38E6C955"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r w:rsidRPr="00E93504">
        <w:rPr>
          <w:rFonts w:eastAsia="Times New Roman" w:cs="Calibri"/>
          <w:i/>
          <w:sz w:val="18"/>
          <w:szCs w:val="18"/>
          <w:u w:val="single"/>
        </w:rPr>
        <w:t>Γραφείο Τύπου</w:t>
      </w:r>
      <w:r w:rsidRPr="00E93504">
        <w:rPr>
          <w:rFonts w:eastAsia="Times New Roman" w:cs="Calibri"/>
          <w:i/>
          <w:sz w:val="18"/>
          <w:szCs w:val="18"/>
        </w:rPr>
        <w:t xml:space="preserve">: Μαίρη Ανδρεάδη, </w:t>
      </w:r>
      <w:proofErr w:type="spellStart"/>
      <w:r w:rsidRPr="00E93504">
        <w:rPr>
          <w:rFonts w:eastAsia="Times New Roman" w:cs="Calibri"/>
          <w:i/>
          <w:sz w:val="18"/>
          <w:szCs w:val="18"/>
        </w:rPr>
        <w:t>τηλ</w:t>
      </w:r>
      <w:proofErr w:type="spellEnd"/>
      <w:r w:rsidRPr="00E93504">
        <w:rPr>
          <w:rFonts w:eastAsia="Times New Roman" w:cs="Calibri"/>
          <w:i/>
          <w:sz w:val="18"/>
          <w:szCs w:val="18"/>
        </w:rPr>
        <w:t>. 210 69 68 000,</w:t>
      </w:r>
      <w:r w:rsidRPr="00E93504">
        <w:rPr>
          <w:rFonts w:cs="Calibri"/>
          <w:noProof/>
          <w:sz w:val="18"/>
          <w:szCs w:val="18"/>
          <w:lang w:eastAsia="el-GR"/>
        </w:rPr>
        <mc:AlternateContent>
          <mc:Choice Requires="wps">
            <w:drawing>
              <wp:anchor distT="0" distB="0" distL="114300" distR="114300" simplePos="0" relativeHeight="251661312" behindDoc="0" locked="0" layoutInCell="1" allowOverlap="1" wp14:anchorId="1CD1FC5D" wp14:editId="0C299A4C">
                <wp:simplePos x="0" y="0"/>
                <wp:positionH relativeFrom="column">
                  <wp:posOffset>-65405</wp:posOffset>
                </wp:positionH>
                <wp:positionV relativeFrom="paragraph">
                  <wp:posOffset>9466580</wp:posOffset>
                </wp:positionV>
                <wp:extent cx="1334770" cy="294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426580A7"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FC5D" id="Text Box 4" o:spid="_x0000_s1027" type="#_x0000_t202" style="position:absolute;left:0;text-align:left;margin-left:-5.15pt;margin-top:745.4pt;width:105.1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" filled="f" stroked="f">
                <v:textbox>
                  <w:txbxContent>
                    <w:p w14:paraId="426580A7"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r w:rsidRPr="00E93504">
        <w:rPr>
          <w:rFonts w:eastAsia="Times New Roman" w:cs="Calibri"/>
          <w:i/>
          <w:sz w:val="18"/>
          <w:szCs w:val="18"/>
        </w:rPr>
        <w:t xml:space="preserve"> </w:t>
      </w:r>
      <w:hyperlink r:id="rId8" w:history="1">
        <w:r w:rsidRPr="00E93504">
          <w:rPr>
            <w:rStyle w:val="Hyperlink"/>
            <w:rFonts w:eastAsia="Times New Roman" w:cs="Calibri"/>
            <w:i/>
            <w:color w:val="auto"/>
            <w:sz w:val="18"/>
            <w:szCs w:val="18"/>
            <w:lang w:val="en-US"/>
          </w:rPr>
          <w:t>pressoffice</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gekterna</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com</w:t>
        </w:r>
      </w:hyperlink>
      <w:r w:rsidRPr="00E93504">
        <w:rPr>
          <w:rFonts w:cs="Calibri"/>
          <w:noProof/>
          <w:sz w:val="18"/>
          <w:szCs w:val="18"/>
          <w:lang w:eastAsia="el-GR"/>
        </w:rPr>
        <mc:AlternateContent>
          <mc:Choice Requires="wps">
            <w:drawing>
              <wp:anchor distT="0" distB="0" distL="114300" distR="114300" simplePos="0" relativeHeight="251660288" behindDoc="0" locked="0" layoutInCell="1" allowOverlap="1" wp14:anchorId="3ECB3BB3" wp14:editId="5167DA08">
                <wp:simplePos x="0" y="0"/>
                <wp:positionH relativeFrom="column">
                  <wp:posOffset>-65405</wp:posOffset>
                </wp:positionH>
                <wp:positionV relativeFrom="paragraph">
                  <wp:posOffset>9466580</wp:posOffset>
                </wp:positionV>
                <wp:extent cx="1334770" cy="294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2554AF6E"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3BB3" id="Text Box 2" o:spid="_x0000_s1028" type="#_x0000_t202" style="position:absolute;left:0;text-align:left;margin-left:-5.15pt;margin-top:745.4pt;width:105.1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" filled="f" stroked="f">
                <v:textbox>
                  <w:txbxContent>
                    <w:p w14:paraId="2554AF6E"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p>
    <w:p w14:paraId="1526F1D2" w14:textId="617831D8" w:rsidR="00A1137B" w:rsidRPr="00E93504" w:rsidRDefault="00505C70" w:rsidP="00AB5A93">
      <w:pPr>
        <w:jc w:val="both"/>
        <w:rPr>
          <w:rFonts w:asciiTheme="minorHAnsi" w:eastAsia="Times New Roman" w:hAnsiTheme="minorHAnsi" w:cstheme="minorHAnsi"/>
        </w:rPr>
      </w:pPr>
      <w:r w:rsidRPr="00E93504">
        <w:rPr>
          <w:rFonts w:eastAsia="Times New Roman" w:cs="Calibri"/>
          <w:i/>
          <w:sz w:val="18"/>
          <w:szCs w:val="18"/>
          <w:u w:val="single"/>
        </w:rPr>
        <w:t>Διεύθυνση Επενδυτικών Σχέσεων:</w:t>
      </w:r>
      <w:r w:rsidRPr="00CF684A">
        <w:rPr>
          <w:rFonts w:eastAsia="Times New Roman" w:cs="Calibri"/>
          <w:i/>
          <w:sz w:val="18"/>
          <w:szCs w:val="18"/>
        </w:rPr>
        <w:t xml:space="preserve"> </w:t>
      </w:r>
      <w:r w:rsidRPr="00E93504">
        <w:rPr>
          <w:rFonts w:eastAsia="Times New Roman" w:cs="Calibri"/>
          <w:i/>
          <w:sz w:val="18"/>
          <w:szCs w:val="18"/>
        </w:rPr>
        <w:t xml:space="preserve">Αργύρης </w:t>
      </w:r>
      <w:proofErr w:type="spellStart"/>
      <w:r w:rsidRPr="00E93504">
        <w:rPr>
          <w:rFonts w:eastAsia="Times New Roman" w:cs="Calibri"/>
          <w:i/>
          <w:sz w:val="18"/>
          <w:szCs w:val="18"/>
        </w:rPr>
        <w:t>Γκόνης</w:t>
      </w:r>
      <w:proofErr w:type="spellEnd"/>
      <w:r w:rsidRPr="00E93504">
        <w:rPr>
          <w:rFonts w:eastAsia="Times New Roman" w:cs="Calibri"/>
          <w:i/>
          <w:sz w:val="18"/>
          <w:szCs w:val="18"/>
        </w:rPr>
        <w:t xml:space="preserve">, </w:t>
      </w:r>
      <w:proofErr w:type="spellStart"/>
      <w:r w:rsidRPr="00E93504">
        <w:rPr>
          <w:rFonts w:eastAsia="Times New Roman" w:cs="Calibri"/>
          <w:i/>
          <w:sz w:val="18"/>
          <w:szCs w:val="18"/>
        </w:rPr>
        <w:t>τηλ</w:t>
      </w:r>
      <w:proofErr w:type="spellEnd"/>
      <w:r w:rsidRPr="00E93504">
        <w:rPr>
          <w:rFonts w:eastAsia="Times New Roman" w:cs="Calibri"/>
          <w:i/>
          <w:sz w:val="18"/>
          <w:szCs w:val="18"/>
        </w:rPr>
        <w:t>. 210 69 68 000,</w:t>
      </w:r>
      <w:r w:rsidRPr="00E93504">
        <w:rPr>
          <w:rFonts w:cs="Calibri"/>
          <w:noProof/>
          <w:sz w:val="18"/>
          <w:szCs w:val="18"/>
          <w:lang w:eastAsia="el-GR"/>
        </w:rPr>
        <mc:AlternateContent>
          <mc:Choice Requires="wps">
            <w:drawing>
              <wp:anchor distT="0" distB="0" distL="114300" distR="114300" simplePos="0" relativeHeight="251659264" behindDoc="0" locked="0" layoutInCell="1" allowOverlap="1" wp14:anchorId="15BE198C" wp14:editId="720208DE">
                <wp:simplePos x="0" y="0"/>
                <wp:positionH relativeFrom="column">
                  <wp:posOffset>-65405</wp:posOffset>
                </wp:positionH>
                <wp:positionV relativeFrom="paragraph">
                  <wp:posOffset>9466580</wp:posOffset>
                </wp:positionV>
                <wp:extent cx="1334770" cy="294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333C0800"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198C" id="Text Box 1" o:spid="_x0000_s1029" type="#_x0000_t202" style="position:absolute;left:0;text-align:left;margin-left:-5.15pt;margin-top:745.4pt;width:105.1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" filled="f" stroked="f">
                <v:textbox>
                  <w:txbxContent>
                    <w:p w14:paraId="333C0800"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r w:rsidRPr="00E93504">
        <w:rPr>
          <w:rFonts w:eastAsia="Times New Roman" w:cs="Calibri"/>
          <w:i/>
          <w:sz w:val="18"/>
          <w:szCs w:val="18"/>
        </w:rPr>
        <w:t xml:space="preserve"> </w:t>
      </w:r>
      <w:hyperlink r:id="rId9" w:history="1">
        <w:r w:rsidRPr="00E93504">
          <w:rPr>
            <w:rStyle w:val="Hyperlink"/>
            <w:rFonts w:eastAsia="Times New Roman" w:cs="Calibri"/>
            <w:i/>
            <w:color w:val="auto"/>
            <w:sz w:val="18"/>
            <w:szCs w:val="18"/>
            <w:lang w:val="en-US"/>
          </w:rPr>
          <w:t>agkonis</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gekterna</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com</w:t>
        </w:r>
      </w:hyperlink>
      <w:r w:rsidRPr="00E93504">
        <w:rPr>
          <w:noProof/>
        </w:rPr>
        <w:t xml:space="preserve"> </w:t>
      </w:r>
    </w:p>
    <w:sectPr w:rsidR="00A1137B" w:rsidRPr="00E93504" w:rsidSect="009D224B">
      <w:headerReference w:type="default" r:id="rId10"/>
      <w:footerReference w:type="default" r:id="rId11"/>
      <w:headerReference w:type="first" r:id="rId12"/>
      <w:footerReference w:type="first" r:id="rId13"/>
      <w:pgSz w:w="11906" w:h="16838"/>
      <w:pgMar w:top="1440" w:right="1134" w:bottom="993"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545C" w14:textId="77777777" w:rsidR="00C21681" w:rsidRDefault="00C21681" w:rsidP="006352B5">
      <w:pPr>
        <w:spacing w:after="0" w:line="240" w:lineRule="auto"/>
      </w:pPr>
      <w:r>
        <w:separator/>
      </w:r>
    </w:p>
  </w:endnote>
  <w:endnote w:type="continuationSeparator" w:id="0">
    <w:p w14:paraId="55911DB7" w14:textId="77777777" w:rsidR="00C21681" w:rsidRDefault="00C21681" w:rsidP="006352B5">
      <w:pPr>
        <w:spacing w:after="0" w:line="240" w:lineRule="auto"/>
      </w:pPr>
      <w:r>
        <w:continuationSeparator/>
      </w:r>
    </w:p>
  </w:endnote>
  <w:endnote w:type="continuationNotice" w:id="1">
    <w:p w14:paraId="69ECD223" w14:textId="77777777" w:rsidR="00C21681" w:rsidRDefault="00C21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40081"/>
      <w:docPartObj>
        <w:docPartGallery w:val="Page Numbers (Bottom of Page)"/>
        <w:docPartUnique/>
      </w:docPartObj>
    </w:sdtPr>
    <w:sdtEndPr>
      <w:rPr>
        <w:noProof/>
      </w:rPr>
    </w:sdtEndPr>
    <w:sdtContent>
      <w:p w14:paraId="6059DE95" w14:textId="1B3D6DEE" w:rsidR="00115F30" w:rsidRDefault="00115F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56B4A" w14:textId="77777777" w:rsidR="00C21681" w:rsidRPr="001B73CE" w:rsidRDefault="00C21681">
    <w:pPr>
      <w:pStyle w:val="Footer"/>
      <w:rPr>
        <w:color w:val="2B447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E789" w14:textId="77777777" w:rsidR="00C21681" w:rsidRDefault="00C21681">
    <w:pPr>
      <w:pStyle w:val="Footer"/>
    </w:pPr>
    <w:r>
      <w:rPr>
        <w:noProof/>
        <w:lang w:eastAsia="el-GR"/>
      </w:rPr>
      <mc:AlternateContent>
        <mc:Choice Requires="wps">
          <w:drawing>
            <wp:anchor distT="0" distB="0" distL="114300" distR="114300" simplePos="0" relativeHeight="251658240" behindDoc="0" locked="0" layoutInCell="1" allowOverlap="1" wp14:anchorId="4181B1DF" wp14:editId="279198F9">
              <wp:simplePos x="0" y="0"/>
              <wp:positionH relativeFrom="column">
                <wp:posOffset>-224790</wp:posOffset>
              </wp:positionH>
              <wp:positionV relativeFrom="paragraph">
                <wp:posOffset>9922510</wp:posOffset>
              </wp:positionV>
              <wp:extent cx="8168005" cy="294005"/>
              <wp:effectExtent l="13970" t="698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005" cy="294005"/>
                      </a:xfrm>
                      <a:prstGeom prst="rect">
                        <a:avLst/>
                      </a:prstGeom>
                      <a:solidFill>
                        <a:srgbClr val="2B447E"/>
                      </a:solidFill>
                      <a:ln w="9525">
                        <a:solidFill>
                          <a:srgbClr val="2B447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44A0" id="Rectangle 3" o:spid="_x0000_s1026" style="position:absolute;margin-left:-17.7pt;margin-top:781.3pt;width:64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" fillcolor="#2b447e" strokecolor="#2b447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EC49" w14:textId="77777777" w:rsidR="00C21681" w:rsidRDefault="00C21681" w:rsidP="006352B5">
      <w:pPr>
        <w:spacing w:after="0" w:line="240" w:lineRule="auto"/>
      </w:pPr>
      <w:r>
        <w:separator/>
      </w:r>
    </w:p>
  </w:footnote>
  <w:footnote w:type="continuationSeparator" w:id="0">
    <w:p w14:paraId="5F97039B" w14:textId="77777777" w:rsidR="00C21681" w:rsidRDefault="00C21681" w:rsidP="006352B5">
      <w:pPr>
        <w:spacing w:after="0" w:line="240" w:lineRule="auto"/>
      </w:pPr>
      <w:r>
        <w:continuationSeparator/>
      </w:r>
    </w:p>
  </w:footnote>
  <w:footnote w:type="continuationNotice" w:id="1">
    <w:p w14:paraId="19FC81D5" w14:textId="77777777" w:rsidR="00C21681" w:rsidRDefault="00C21681">
      <w:pPr>
        <w:spacing w:after="0" w:line="240" w:lineRule="auto"/>
      </w:pPr>
    </w:p>
  </w:footnote>
  <w:footnote w:id="2">
    <w:p w14:paraId="3D5AF959" w14:textId="1746B975" w:rsidR="006E5D38" w:rsidRPr="002E343A" w:rsidRDefault="006E5D38" w:rsidP="00007D50">
      <w:pPr>
        <w:pStyle w:val="FootnoteText"/>
        <w:jc w:val="both"/>
      </w:pPr>
      <w:r>
        <w:rPr>
          <w:rStyle w:val="FootnoteReference"/>
        </w:rPr>
        <w:footnoteRef/>
      </w:r>
      <w:r>
        <w:t xml:space="preserve"> </w:t>
      </w:r>
      <w:r w:rsidRPr="0015496A">
        <w:rPr>
          <w:rFonts w:asciiTheme="minorHAnsi" w:hAnsiTheme="minorHAnsi" w:cstheme="minorHAnsi"/>
          <w:i/>
          <w:iCs/>
          <w:sz w:val="12"/>
          <w:szCs w:val="12"/>
        </w:rPr>
        <w:t>Οι εναλλακτικοί δείκτες μέτρησης ΕΔΜΑ προσδιορίζονται στην ενότητα ΣΤ της Έκθεσης Διαχείρισης του Διοικητικού Συμβουλίου, στην Ε</w:t>
      </w:r>
      <w:r w:rsidR="00D95831">
        <w:rPr>
          <w:rFonts w:asciiTheme="minorHAnsi" w:hAnsiTheme="minorHAnsi" w:cstheme="minorHAnsi"/>
          <w:i/>
          <w:iCs/>
          <w:sz w:val="12"/>
          <w:szCs w:val="12"/>
        </w:rPr>
        <w:t>τήσια</w:t>
      </w:r>
      <w:r w:rsidRPr="0015496A">
        <w:rPr>
          <w:rFonts w:asciiTheme="minorHAnsi" w:hAnsiTheme="minorHAnsi" w:cstheme="minorHAnsi"/>
          <w:i/>
          <w:iCs/>
          <w:sz w:val="12"/>
          <w:szCs w:val="12"/>
        </w:rPr>
        <w:t xml:space="preserve"> Οικονομική Έκθεση </w:t>
      </w:r>
      <w:r w:rsidR="00D95831">
        <w:rPr>
          <w:rFonts w:asciiTheme="minorHAnsi" w:hAnsiTheme="minorHAnsi" w:cstheme="minorHAnsi"/>
          <w:i/>
          <w:iCs/>
          <w:sz w:val="12"/>
          <w:szCs w:val="12"/>
        </w:rPr>
        <w:t xml:space="preserve">χρήσης </w:t>
      </w:r>
      <w:r w:rsidRPr="0015496A">
        <w:rPr>
          <w:rFonts w:asciiTheme="minorHAnsi" w:hAnsiTheme="minorHAnsi" w:cstheme="minorHAnsi"/>
          <w:i/>
          <w:iCs/>
          <w:sz w:val="12"/>
          <w:szCs w:val="12"/>
        </w:rPr>
        <w:t xml:space="preserve">της περιόδου που </w:t>
      </w:r>
      <w:r w:rsidR="00D95831">
        <w:rPr>
          <w:rFonts w:asciiTheme="minorHAnsi" w:hAnsiTheme="minorHAnsi" w:cstheme="minorHAnsi"/>
          <w:i/>
          <w:iCs/>
          <w:sz w:val="12"/>
          <w:szCs w:val="12"/>
        </w:rPr>
        <w:t>έληξε</w:t>
      </w:r>
      <w:r w:rsidRPr="0015496A">
        <w:rPr>
          <w:rFonts w:asciiTheme="minorHAnsi" w:hAnsiTheme="minorHAnsi" w:cstheme="minorHAnsi"/>
          <w:i/>
          <w:iCs/>
          <w:sz w:val="12"/>
          <w:szCs w:val="12"/>
        </w:rPr>
        <w:t xml:space="preserve"> την </w:t>
      </w:r>
      <w:r w:rsidRPr="0000504B">
        <w:rPr>
          <w:rFonts w:asciiTheme="minorHAnsi" w:hAnsiTheme="minorHAnsi" w:cstheme="minorHAnsi"/>
          <w:i/>
          <w:iCs/>
          <w:sz w:val="12"/>
          <w:szCs w:val="12"/>
        </w:rPr>
        <w:t>31</w:t>
      </w:r>
      <w:r w:rsidRPr="0015496A">
        <w:rPr>
          <w:rFonts w:asciiTheme="minorHAnsi" w:hAnsiTheme="minorHAnsi" w:cstheme="minorHAnsi"/>
          <w:i/>
          <w:iCs/>
          <w:sz w:val="12"/>
          <w:szCs w:val="12"/>
        </w:rPr>
        <w:t>.</w:t>
      </w:r>
      <w:r w:rsidR="00AA5D5B">
        <w:rPr>
          <w:rFonts w:asciiTheme="minorHAnsi" w:hAnsiTheme="minorHAnsi" w:cstheme="minorHAnsi"/>
          <w:i/>
          <w:iCs/>
          <w:sz w:val="12"/>
          <w:szCs w:val="12"/>
        </w:rPr>
        <w:t>12</w:t>
      </w:r>
      <w:r w:rsidRPr="0015496A">
        <w:rPr>
          <w:rFonts w:asciiTheme="minorHAnsi" w:hAnsiTheme="minorHAnsi" w:cstheme="minorHAnsi"/>
          <w:i/>
          <w:iCs/>
          <w:sz w:val="12"/>
          <w:szCs w:val="12"/>
        </w:rPr>
        <w:t>.2022.</w:t>
      </w:r>
    </w:p>
  </w:footnote>
  <w:footnote w:id="3">
    <w:p w14:paraId="41EB9F1F" w14:textId="486630C4" w:rsidR="006E5D38" w:rsidRPr="006E5D38" w:rsidRDefault="006E5D38" w:rsidP="00007D50">
      <w:pPr>
        <w:pStyle w:val="FootnoteText"/>
        <w:jc w:val="both"/>
      </w:pPr>
      <w:r>
        <w:rPr>
          <w:rStyle w:val="FootnoteReference"/>
        </w:rPr>
        <w:footnoteRef/>
      </w:r>
      <w:r>
        <w:t xml:space="preserve"> </w:t>
      </w:r>
      <w:r w:rsidRPr="00065030">
        <w:rPr>
          <w:rFonts w:asciiTheme="minorHAnsi" w:eastAsia="Times New Roman" w:hAnsiTheme="minorHAnsi" w:cstheme="minorHAnsi"/>
          <w:sz w:val="12"/>
          <w:szCs w:val="12"/>
        </w:rPr>
        <w:t>Σημειώνεται ότι, στα αποτελέσματα της τρέχουσας περιόδου έχουν συμπεριληφθεί και γεγονότα που έχουν τον χαρακτηρισμό  του</w:t>
      </w:r>
      <w:r w:rsidR="00AA5D5B">
        <w:rPr>
          <w:rFonts w:asciiTheme="minorHAnsi" w:eastAsia="Times New Roman" w:hAnsiTheme="minorHAnsi" w:cstheme="minorHAnsi"/>
          <w:sz w:val="12"/>
          <w:szCs w:val="12"/>
        </w:rPr>
        <w:t xml:space="preserve"> μη </w:t>
      </w:r>
      <w:r w:rsidRPr="00065030">
        <w:rPr>
          <w:rFonts w:asciiTheme="minorHAnsi" w:eastAsia="Times New Roman" w:hAnsiTheme="minorHAnsi" w:cstheme="minorHAnsi"/>
          <w:sz w:val="12"/>
          <w:szCs w:val="12"/>
        </w:rPr>
        <w:t xml:space="preserve">λειτουργικού αποτελέσματος: α) κέρδος </w:t>
      </w:r>
      <w:r w:rsidR="001C5287">
        <w:rPr>
          <w:rFonts w:asciiTheme="minorHAnsi" w:eastAsia="Times New Roman" w:hAnsiTheme="minorHAnsi" w:cstheme="minorHAnsi"/>
          <w:sz w:val="12"/>
          <w:szCs w:val="12"/>
        </w:rPr>
        <w:t>7,8</w:t>
      </w:r>
      <w:r w:rsidR="00C83B0D">
        <w:rPr>
          <w:rFonts w:asciiTheme="minorHAnsi" w:eastAsia="Times New Roman" w:hAnsiTheme="minorHAnsi" w:cstheme="minorHAnsi"/>
          <w:sz w:val="12"/>
          <w:szCs w:val="12"/>
        </w:rPr>
        <w:t>,</w:t>
      </w:r>
      <w:r w:rsidRPr="00065030">
        <w:rPr>
          <w:rFonts w:asciiTheme="minorHAnsi" w:eastAsia="Times New Roman" w:hAnsiTheme="minorHAnsi" w:cstheme="minorHAnsi"/>
          <w:sz w:val="12"/>
          <w:szCs w:val="12"/>
        </w:rPr>
        <w:t xml:space="preserve"> εκατ. ευρώ έναντι </w:t>
      </w:r>
      <w:r w:rsidR="00C83B0D">
        <w:rPr>
          <w:rFonts w:asciiTheme="minorHAnsi" w:eastAsia="Times New Roman" w:hAnsiTheme="minorHAnsi" w:cstheme="minorHAnsi"/>
          <w:sz w:val="12"/>
          <w:szCs w:val="12"/>
        </w:rPr>
        <w:t>ζημίας 2</w:t>
      </w:r>
      <w:r w:rsidR="00D95831">
        <w:rPr>
          <w:rFonts w:asciiTheme="minorHAnsi" w:eastAsia="Times New Roman" w:hAnsiTheme="minorHAnsi" w:cstheme="minorHAnsi"/>
          <w:sz w:val="12"/>
          <w:szCs w:val="12"/>
        </w:rPr>
        <w:t>0</w:t>
      </w:r>
      <w:r w:rsidR="00C83B0D">
        <w:rPr>
          <w:rFonts w:asciiTheme="minorHAnsi" w:eastAsia="Times New Roman" w:hAnsiTheme="minorHAnsi" w:cstheme="minorHAnsi"/>
          <w:sz w:val="12"/>
          <w:szCs w:val="12"/>
        </w:rPr>
        <w:t>,</w:t>
      </w:r>
      <w:r w:rsidR="00D95831">
        <w:rPr>
          <w:rFonts w:asciiTheme="minorHAnsi" w:eastAsia="Times New Roman" w:hAnsiTheme="minorHAnsi" w:cstheme="minorHAnsi"/>
          <w:sz w:val="12"/>
          <w:szCs w:val="12"/>
        </w:rPr>
        <w:t>4</w:t>
      </w:r>
      <w:r w:rsidRPr="00065030">
        <w:rPr>
          <w:rFonts w:asciiTheme="minorHAnsi" w:eastAsia="Times New Roman" w:hAnsiTheme="minorHAnsi" w:cstheme="minorHAnsi"/>
          <w:sz w:val="12"/>
          <w:szCs w:val="12"/>
        </w:rPr>
        <w:t xml:space="preserve"> εκατ. ευρώ την αντίστοιχη περίοδο του 202</w:t>
      </w:r>
      <w:r w:rsidR="00C83B0D">
        <w:rPr>
          <w:rFonts w:asciiTheme="minorHAnsi" w:eastAsia="Times New Roman" w:hAnsiTheme="minorHAnsi" w:cstheme="minorHAnsi"/>
          <w:sz w:val="12"/>
          <w:szCs w:val="12"/>
        </w:rPr>
        <w:t>2</w:t>
      </w:r>
      <w:r w:rsidRPr="00065030">
        <w:rPr>
          <w:rFonts w:asciiTheme="minorHAnsi" w:eastAsia="Times New Roman" w:hAnsiTheme="minorHAnsi" w:cstheme="minorHAnsi"/>
          <w:sz w:val="12"/>
          <w:szCs w:val="12"/>
        </w:rPr>
        <w:t xml:space="preserve">, από την </w:t>
      </w:r>
      <w:r w:rsidR="00C83B0D">
        <w:rPr>
          <w:rFonts w:asciiTheme="minorHAnsi" w:eastAsia="Times New Roman" w:hAnsiTheme="minorHAnsi" w:cstheme="minorHAnsi"/>
          <w:sz w:val="12"/>
          <w:szCs w:val="12"/>
        </w:rPr>
        <w:t>μεταβολή</w:t>
      </w:r>
      <w:r w:rsidRPr="00065030">
        <w:rPr>
          <w:rFonts w:asciiTheme="minorHAnsi" w:eastAsia="Times New Roman" w:hAnsiTheme="minorHAnsi" w:cstheme="minorHAnsi"/>
          <w:sz w:val="12"/>
          <w:szCs w:val="12"/>
        </w:rPr>
        <w:t xml:space="preserve"> της εύλογης αξίας του ενσωματωμένου παραγώγου, το οποίο έχει αναγνωριστεί στο πλαίσιο λειτουργίας της θυγατρικής εταιρείας Παραχώρησης ΑΥΤΟΚΙΝΗΤΟΔΡΟΜΟΣ ΚΕΝΤΡΙΚΗΣ ΕΛΛΑΔΑΣ Α.Ε.</w:t>
      </w:r>
      <w:r w:rsidR="00C83B0D">
        <w:rPr>
          <w:rFonts w:asciiTheme="minorHAnsi" w:eastAsia="Times New Roman" w:hAnsiTheme="minorHAnsi" w:cstheme="minorHAnsi"/>
          <w:sz w:val="12"/>
          <w:szCs w:val="12"/>
        </w:rPr>
        <w:t xml:space="preserve"> και β) κέρδος </w:t>
      </w:r>
      <w:r w:rsidR="001C5287">
        <w:rPr>
          <w:rFonts w:asciiTheme="minorHAnsi" w:eastAsia="Times New Roman" w:hAnsiTheme="minorHAnsi" w:cstheme="minorHAnsi"/>
          <w:sz w:val="12"/>
          <w:szCs w:val="12"/>
        </w:rPr>
        <w:t>8,0</w:t>
      </w:r>
      <w:r w:rsidR="00C83B0D">
        <w:rPr>
          <w:rFonts w:asciiTheme="minorHAnsi" w:eastAsia="Times New Roman" w:hAnsiTheme="minorHAnsi" w:cstheme="minorHAnsi"/>
          <w:sz w:val="12"/>
          <w:szCs w:val="12"/>
        </w:rPr>
        <w:t xml:space="preserve"> εκατ. ευρώ από την αποτίμηση παραγώγων στον τομέα ενέργειας</w:t>
      </w:r>
      <w:r w:rsidR="00D95831">
        <w:rPr>
          <w:rFonts w:asciiTheme="minorHAnsi" w:eastAsia="Times New Roman" w:hAnsiTheme="minorHAnsi" w:cstheme="minorHAnsi"/>
          <w:sz w:val="12"/>
          <w:szCs w:val="12"/>
        </w:rPr>
        <w:t xml:space="preserve"> από θερμικές πηγές</w:t>
      </w:r>
      <w:r w:rsidR="00C83B0D">
        <w:rPr>
          <w:rFonts w:asciiTheme="minorHAnsi" w:eastAsia="Times New Roman" w:hAnsiTheme="minorHAnsi" w:cstheme="minorHAnsi"/>
          <w:sz w:val="12"/>
          <w:szCs w:val="12"/>
        </w:rPr>
        <w:t>. Επίσης τα αποτελέσματα του Α-τριμήνου του 2022 περιλαμβάνουν</w:t>
      </w:r>
      <w:r w:rsidR="00007D50">
        <w:rPr>
          <w:rFonts w:asciiTheme="minorHAnsi" w:eastAsia="Times New Roman" w:hAnsiTheme="minorHAnsi" w:cstheme="minorHAnsi"/>
          <w:sz w:val="12"/>
          <w:szCs w:val="12"/>
        </w:rPr>
        <w:t xml:space="preserve"> κεφαλαιακό κέρδος 18,8 εκατ. ευρώ από την απόκτηση του 100% της εταιρείας Ήρων Ενεργειακή.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F49B" w14:textId="77777777" w:rsidR="00C21681" w:rsidRDefault="00C21681">
    <w:pPr>
      <w:pStyle w:val="Header"/>
      <w:rPr>
        <w:lang w:val="en-US"/>
      </w:rPr>
    </w:pPr>
    <w:r>
      <w:rPr>
        <w:noProof/>
        <w:lang w:eastAsia="el-GR"/>
      </w:rPr>
      <w:drawing>
        <wp:inline distT="0" distB="0" distL="0" distR="0" wp14:anchorId="3822B7D3" wp14:editId="26F2E389">
          <wp:extent cx="1030605" cy="375285"/>
          <wp:effectExtent l="0" t="0" r="0" b="5715"/>
          <wp:docPr id="12" name="Picture 12" descr="GEK_TERN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K_TERNA_GR.jpg"/>
                  <pic:cNvPicPr>
                    <a:picLocks noChangeAspect="1" noChangeArrowheads="1"/>
                  </pic:cNvPicPr>
                </pic:nvPicPr>
                <pic:blipFill>
                  <a:blip r:embed="rId1">
                    <a:extLst>
                      <a:ext uri="{28A0092B-C50C-407E-A947-70E740481C1C}">
                        <a14:useLocalDpi xmlns:a14="http://schemas.microsoft.com/office/drawing/2010/main" val="0"/>
                      </a:ext>
                    </a:extLst>
                  </a:blip>
                  <a:srcRect l="6085"/>
                  <a:stretch>
                    <a:fillRect/>
                  </a:stretch>
                </pic:blipFill>
                <pic:spPr bwMode="auto">
                  <a:xfrm>
                    <a:off x="0" y="0"/>
                    <a:ext cx="1030605" cy="375285"/>
                  </a:xfrm>
                  <a:prstGeom prst="rect">
                    <a:avLst/>
                  </a:prstGeom>
                  <a:noFill/>
                  <a:ln>
                    <a:noFill/>
                  </a:ln>
                </pic:spPr>
              </pic:pic>
            </a:graphicData>
          </a:graphic>
        </wp:inline>
      </w:drawing>
    </w:r>
  </w:p>
  <w:p w14:paraId="4DFCCC74" w14:textId="77777777" w:rsidR="00C21681" w:rsidRPr="00EE0C0E" w:rsidRDefault="00C2168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2BD5" w14:textId="77777777" w:rsidR="00C21681" w:rsidRDefault="00C21681">
    <w:pPr>
      <w:pStyle w:val="Header"/>
      <w:rPr>
        <w:lang w:val="en-US"/>
      </w:rPr>
    </w:pPr>
    <w:r>
      <w:rPr>
        <w:noProof/>
        <w:lang w:eastAsia="el-GR"/>
      </w:rPr>
      <w:drawing>
        <wp:inline distT="0" distB="0" distL="0" distR="0" wp14:anchorId="4F0FB5FE" wp14:editId="28C5A618">
          <wp:extent cx="1528445" cy="573405"/>
          <wp:effectExtent l="0" t="0" r="0" b="0"/>
          <wp:docPr id="13" name="Picture 13" descr="GEK_TERN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K_TERNA_GR.jpg"/>
                  <pic:cNvPicPr>
                    <a:picLocks noChangeAspect="1" noChangeArrowheads="1"/>
                  </pic:cNvPicPr>
                </pic:nvPicPr>
                <pic:blipFill>
                  <a:blip r:embed="rId1">
                    <a:extLst>
                      <a:ext uri="{28A0092B-C50C-407E-A947-70E740481C1C}">
                        <a14:useLocalDpi xmlns:a14="http://schemas.microsoft.com/office/drawing/2010/main" val="0"/>
                      </a:ext>
                    </a:extLst>
                  </a:blip>
                  <a:srcRect l="6085" r="2654"/>
                  <a:stretch>
                    <a:fillRect/>
                  </a:stretch>
                </pic:blipFill>
                <pic:spPr bwMode="auto">
                  <a:xfrm>
                    <a:off x="0" y="0"/>
                    <a:ext cx="1528445" cy="573405"/>
                  </a:xfrm>
                  <a:prstGeom prst="rect">
                    <a:avLst/>
                  </a:prstGeom>
                  <a:noFill/>
                  <a:ln>
                    <a:noFill/>
                  </a:ln>
                </pic:spPr>
              </pic:pic>
            </a:graphicData>
          </a:graphic>
        </wp:inline>
      </w:drawing>
    </w:r>
  </w:p>
  <w:p w14:paraId="5DD54DD0" w14:textId="77777777" w:rsidR="00C21681" w:rsidRPr="004A2D2E" w:rsidRDefault="00C2168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1E2"/>
    <w:multiLevelType w:val="hybridMultilevel"/>
    <w:tmpl w:val="DD548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29796E"/>
    <w:multiLevelType w:val="hybridMultilevel"/>
    <w:tmpl w:val="553A297A"/>
    <w:lvl w:ilvl="0" w:tplc="3F7C02A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CE79EB"/>
    <w:multiLevelType w:val="hybridMultilevel"/>
    <w:tmpl w:val="17DCA37C"/>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3" w15:restartNumberingAfterBreak="0">
    <w:nsid w:val="17CF1C83"/>
    <w:multiLevelType w:val="hybridMultilevel"/>
    <w:tmpl w:val="1B6E97C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963EC2"/>
    <w:multiLevelType w:val="hybridMultilevel"/>
    <w:tmpl w:val="647EA832"/>
    <w:lvl w:ilvl="0" w:tplc="1ACA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50CAC"/>
    <w:multiLevelType w:val="hybridMultilevel"/>
    <w:tmpl w:val="A252C4C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4127E01"/>
    <w:multiLevelType w:val="hybridMultilevel"/>
    <w:tmpl w:val="99B6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71654"/>
    <w:multiLevelType w:val="hybridMultilevel"/>
    <w:tmpl w:val="B3928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F909D0"/>
    <w:multiLevelType w:val="hybridMultilevel"/>
    <w:tmpl w:val="4970A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D6E596B"/>
    <w:multiLevelType w:val="hybridMultilevel"/>
    <w:tmpl w:val="27402B26"/>
    <w:lvl w:ilvl="0" w:tplc="93AA8624">
      <w:start w:val="1"/>
      <w:numFmt w:val="bullet"/>
      <w:lvlText w:val=""/>
      <w:lvlJc w:val="left"/>
      <w:pPr>
        <w:ind w:left="720" w:hanging="360"/>
      </w:pPr>
      <w:rPr>
        <w:rFonts w:ascii="Symbol" w:hAnsi="Symbol" w:hint="default"/>
      </w:rPr>
    </w:lvl>
    <w:lvl w:ilvl="1" w:tplc="B366E7AA" w:tentative="1">
      <w:start w:val="1"/>
      <w:numFmt w:val="bullet"/>
      <w:lvlText w:val="o"/>
      <w:lvlJc w:val="left"/>
      <w:pPr>
        <w:ind w:left="1440" w:hanging="360"/>
      </w:pPr>
      <w:rPr>
        <w:rFonts w:ascii="Courier New" w:hAnsi="Courier New" w:cs="Courier New" w:hint="default"/>
      </w:rPr>
    </w:lvl>
    <w:lvl w:ilvl="2" w:tplc="EA6844DA" w:tentative="1">
      <w:start w:val="1"/>
      <w:numFmt w:val="bullet"/>
      <w:lvlText w:val=""/>
      <w:lvlJc w:val="left"/>
      <w:pPr>
        <w:ind w:left="2160" w:hanging="360"/>
      </w:pPr>
      <w:rPr>
        <w:rFonts w:ascii="Wingdings" w:hAnsi="Wingdings" w:hint="default"/>
      </w:rPr>
    </w:lvl>
    <w:lvl w:ilvl="3" w:tplc="D6B2FBB0" w:tentative="1">
      <w:start w:val="1"/>
      <w:numFmt w:val="bullet"/>
      <w:lvlText w:val=""/>
      <w:lvlJc w:val="left"/>
      <w:pPr>
        <w:ind w:left="2880" w:hanging="360"/>
      </w:pPr>
      <w:rPr>
        <w:rFonts w:ascii="Symbol" w:hAnsi="Symbol" w:hint="default"/>
      </w:rPr>
    </w:lvl>
    <w:lvl w:ilvl="4" w:tplc="25C0B424" w:tentative="1">
      <w:start w:val="1"/>
      <w:numFmt w:val="bullet"/>
      <w:lvlText w:val="o"/>
      <w:lvlJc w:val="left"/>
      <w:pPr>
        <w:ind w:left="3600" w:hanging="360"/>
      </w:pPr>
      <w:rPr>
        <w:rFonts w:ascii="Courier New" w:hAnsi="Courier New" w:cs="Courier New" w:hint="default"/>
      </w:rPr>
    </w:lvl>
    <w:lvl w:ilvl="5" w:tplc="6B9C998C" w:tentative="1">
      <w:start w:val="1"/>
      <w:numFmt w:val="bullet"/>
      <w:lvlText w:val=""/>
      <w:lvlJc w:val="left"/>
      <w:pPr>
        <w:ind w:left="4320" w:hanging="360"/>
      </w:pPr>
      <w:rPr>
        <w:rFonts w:ascii="Wingdings" w:hAnsi="Wingdings" w:hint="default"/>
      </w:rPr>
    </w:lvl>
    <w:lvl w:ilvl="6" w:tplc="2D12782A" w:tentative="1">
      <w:start w:val="1"/>
      <w:numFmt w:val="bullet"/>
      <w:lvlText w:val=""/>
      <w:lvlJc w:val="left"/>
      <w:pPr>
        <w:ind w:left="5040" w:hanging="360"/>
      </w:pPr>
      <w:rPr>
        <w:rFonts w:ascii="Symbol" w:hAnsi="Symbol" w:hint="default"/>
      </w:rPr>
    </w:lvl>
    <w:lvl w:ilvl="7" w:tplc="6BD64FFA" w:tentative="1">
      <w:start w:val="1"/>
      <w:numFmt w:val="bullet"/>
      <w:lvlText w:val="o"/>
      <w:lvlJc w:val="left"/>
      <w:pPr>
        <w:ind w:left="5760" w:hanging="360"/>
      </w:pPr>
      <w:rPr>
        <w:rFonts w:ascii="Courier New" w:hAnsi="Courier New" w:cs="Courier New" w:hint="default"/>
      </w:rPr>
    </w:lvl>
    <w:lvl w:ilvl="8" w:tplc="84BED674" w:tentative="1">
      <w:start w:val="1"/>
      <w:numFmt w:val="bullet"/>
      <w:lvlText w:val=""/>
      <w:lvlJc w:val="left"/>
      <w:pPr>
        <w:ind w:left="6480" w:hanging="360"/>
      </w:pPr>
      <w:rPr>
        <w:rFonts w:ascii="Wingdings" w:hAnsi="Wingdings" w:hint="default"/>
      </w:rPr>
    </w:lvl>
  </w:abstractNum>
  <w:abstractNum w:abstractNumId="10" w15:restartNumberingAfterBreak="0">
    <w:nsid w:val="40663F24"/>
    <w:multiLevelType w:val="hybridMultilevel"/>
    <w:tmpl w:val="F7AAF216"/>
    <w:lvl w:ilvl="0" w:tplc="D5AE25D8">
      <w:start w:val="1"/>
      <w:numFmt w:val="decimal"/>
      <w:lvlText w:val="%1."/>
      <w:lvlJc w:val="left"/>
      <w:pPr>
        <w:tabs>
          <w:tab w:val="num" w:pos="720"/>
        </w:tabs>
        <w:ind w:left="720" w:hanging="360"/>
      </w:pPr>
    </w:lvl>
    <w:lvl w:ilvl="1" w:tplc="2C82C448" w:tentative="1">
      <w:start w:val="1"/>
      <w:numFmt w:val="decimal"/>
      <w:lvlText w:val="%2."/>
      <w:lvlJc w:val="left"/>
      <w:pPr>
        <w:tabs>
          <w:tab w:val="num" w:pos="1440"/>
        </w:tabs>
        <w:ind w:left="1440" w:hanging="360"/>
      </w:pPr>
    </w:lvl>
    <w:lvl w:ilvl="2" w:tplc="93103350" w:tentative="1">
      <w:start w:val="1"/>
      <w:numFmt w:val="decimal"/>
      <w:lvlText w:val="%3."/>
      <w:lvlJc w:val="left"/>
      <w:pPr>
        <w:tabs>
          <w:tab w:val="num" w:pos="2160"/>
        </w:tabs>
        <w:ind w:left="2160" w:hanging="360"/>
      </w:pPr>
    </w:lvl>
    <w:lvl w:ilvl="3" w:tplc="F92238DA" w:tentative="1">
      <w:start w:val="1"/>
      <w:numFmt w:val="decimal"/>
      <w:lvlText w:val="%4."/>
      <w:lvlJc w:val="left"/>
      <w:pPr>
        <w:tabs>
          <w:tab w:val="num" w:pos="2880"/>
        </w:tabs>
        <w:ind w:left="2880" w:hanging="360"/>
      </w:pPr>
    </w:lvl>
    <w:lvl w:ilvl="4" w:tplc="5BCAD1E4" w:tentative="1">
      <w:start w:val="1"/>
      <w:numFmt w:val="decimal"/>
      <w:lvlText w:val="%5."/>
      <w:lvlJc w:val="left"/>
      <w:pPr>
        <w:tabs>
          <w:tab w:val="num" w:pos="3600"/>
        </w:tabs>
        <w:ind w:left="3600" w:hanging="360"/>
      </w:pPr>
    </w:lvl>
    <w:lvl w:ilvl="5" w:tplc="ACD610FE" w:tentative="1">
      <w:start w:val="1"/>
      <w:numFmt w:val="decimal"/>
      <w:lvlText w:val="%6."/>
      <w:lvlJc w:val="left"/>
      <w:pPr>
        <w:tabs>
          <w:tab w:val="num" w:pos="4320"/>
        </w:tabs>
        <w:ind w:left="4320" w:hanging="360"/>
      </w:pPr>
    </w:lvl>
    <w:lvl w:ilvl="6" w:tplc="4EDA850E" w:tentative="1">
      <w:start w:val="1"/>
      <w:numFmt w:val="decimal"/>
      <w:lvlText w:val="%7."/>
      <w:lvlJc w:val="left"/>
      <w:pPr>
        <w:tabs>
          <w:tab w:val="num" w:pos="5040"/>
        </w:tabs>
        <w:ind w:left="5040" w:hanging="360"/>
      </w:pPr>
    </w:lvl>
    <w:lvl w:ilvl="7" w:tplc="D18C8162" w:tentative="1">
      <w:start w:val="1"/>
      <w:numFmt w:val="decimal"/>
      <w:lvlText w:val="%8."/>
      <w:lvlJc w:val="left"/>
      <w:pPr>
        <w:tabs>
          <w:tab w:val="num" w:pos="5760"/>
        </w:tabs>
        <w:ind w:left="5760" w:hanging="360"/>
      </w:pPr>
    </w:lvl>
    <w:lvl w:ilvl="8" w:tplc="25800F0E" w:tentative="1">
      <w:start w:val="1"/>
      <w:numFmt w:val="decimal"/>
      <w:lvlText w:val="%9."/>
      <w:lvlJc w:val="left"/>
      <w:pPr>
        <w:tabs>
          <w:tab w:val="num" w:pos="6480"/>
        </w:tabs>
        <w:ind w:left="6480" w:hanging="360"/>
      </w:pPr>
    </w:lvl>
  </w:abstractNum>
  <w:abstractNum w:abstractNumId="11" w15:restartNumberingAfterBreak="0">
    <w:nsid w:val="42004073"/>
    <w:multiLevelType w:val="hybridMultilevel"/>
    <w:tmpl w:val="42925850"/>
    <w:lvl w:ilvl="0" w:tplc="5B8469B6">
      <w:start w:val="1"/>
      <w:numFmt w:val="bullet"/>
      <w:lvlText w:val=""/>
      <w:lvlJc w:val="left"/>
      <w:pPr>
        <w:ind w:left="1440" w:hanging="360"/>
      </w:pPr>
      <w:rPr>
        <w:rFonts w:ascii="Symbol" w:hAnsi="Symbol" w:hint="default"/>
        <w:lang w:val="el-GR"/>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F4308"/>
    <w:multiLevelType w:val="hybridMultilevel"/>
    <w:tmpl w:val="73307A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090"/>
    <w:multiLevelType w:val="hybridMultilevel"/>
    <w:tmpl w:val="7EACE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FB4438"/>
    <w:multiLevelType w:val="hybridMultilevel"/>
    <w:tmpl w:val="90929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25B270A"/>
    <w:multiLevelType w:val="hybridMultilevel"/>
    <w:tmpl w:val="A6827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A9140F4"/>
    <w:multiLevelType w:val="hybridMultilevel"/>
    <w:tmpl w:val="1760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C6D65"/>
    <w:multiLevelType w:val="hybridMultilevel"/>
    <w:tmpl w:val="C77EB0B2"/>
    <w:lvl w:ilvl="0" w:tplc="D2361F0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CA040F4"/>
    <w:multiLevelType w:val="multilevel"/>
    <w:tmpl w:val="08445D32"/>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C57101"/>
    <w:multiLevelType w:val="hybridMultilevel"/>
    <w:tmpl w:val="11263B2C"/>
    <w:lvl w:ilvl="0" w:tplc="5C64C386">
      <w:start w:val="1"/>
      <w:numFmt w:val="bullet"/>
      <w:lvlText w:val="•"/>
      <w:lvlJc w:val="left"/>
      <w:pPr>
        <w:tabs>
          <w:tab w:val="num" w:pos="720"/>
        </w:tabs>
        <w:ind w:left="720" w:hanging="360"/>
      </w:pPr>
      <w:rPr>
        <w:rFonts w:ascii="Arial" w:hAnsi="Arial" w:cs="Times New Roman" w:hint="default"/>
      </w:rPr>
    </w:lvl>
    <w:lvl w:ilvl="1" w:tplc="623CEB98">
      <w:start w:val="1"/>
      <w:numFmt w:val="bullet"/>
      <w:lvlText w:val="•"/>
      <w:lvlJc w:val="left"/>
      <w:pPr>
        <w:tabs>
          <w:tab w:val="num" w:pos="1440"/>
        </w:tabs>
        <w:ind w:left="1440" w:hanging="360"/>
      </w:pPr>
      <w:rPr>
        <w:rFonts w:ascii="Arial" w:hAnsi="Arial" w:cs="Times New Roman" w:hint="default"/>
      </w:rPr>
    </w:lvl>
    <w:lvl w:ilvl="2" w:tplc="C48605D6">
      <w:start w:val="1"/>
      <w:numFmt w:val="bullet"/>
      <w:lvlText w:val="•"/>
      <w:lvlJc w:val="left"/>
      <w:pPr>
        <w:tabs>
          <w:tab w:val="num" w:pos="2160"/>
        </w:tabs>
        <w:ind w:left="2160" w:hanging="360"/>
      </w:pPr>
      <w:rPr>
        <w:rFonts w:ascii="Arial" w:hAnsi="Arial" w:cs="Times New Roman" w:hint="default"/>
      </w:rPr>
    </w:lvl>
    <w:lvl w:ilvl="3" w:tplc="5BF2EE72">
      <w:start w:val="1"/>
      <w:numFmt w:val="bullet"/>
      <w:lvlText w:val="•"/>
      <w:lvlJc w:val="left"/>
      <w:pPr>
        <w:tabs>
          <w:tab w:val="num" w:pos="2880"/>
        </w:tabs>
        <w:ind w:left="2880" w:hanging="360"/>
      </w:pPr>
      <w:rPr>
        <w:rFonts w:ascii="Arial" w:hAnsi="Arial" w:cs="Times New Roman" w:hint="default"/>
      </w:rPr>
    </w:lvl>
    <w:lvl w:ilvl="4" w:tplc="51EA090C">
      <w:start w:val="1"/>
      <w:numFmt w:val="bullet"/>
      <w:lvlText w:val="•"/>
      <w:lvlJc w:val="left"/>
      <w:pPr>
        <w:tabs>
          <w:tab w:val="num" w:pos="3600"/>
        </w:tabs>
        <w:ind w:left="3600" w:hanging="360"/>
      </w:pPr>
      <w:rPr>
        <w:rFonts w:ascii="Arial" w:hAnsi="Arial" w:cs="Times New Roman" w:hint="default"/>
      </w:rPr>
    </w:lvl>
    <w:lvl w:ilvl="5" w:tplc="77DEDC52">
      <w:start w:val="1"/>
      <w:numFmt w:val="bullet"/>
      <w:lvlText w:val="•"/>
      <w:lvlJc w:val="left"/>
      <w:pPr>
        <w:tabs>
          <w:tab w:val="num" w:pos="4320"/>
        </w:tabs>
        <w:ind w:left="4320" w:hanging="360"/>
      </w:pPr>
      <w:rPr>
        <w:rFonts w:ascii="Arial" w:hAnsi="Arial" w:cs="Times New Roman" w:hint="default"/>
      </w:rPr>
    </w:lvl>
    <w:lvl w:ilvl="6" w:tplc="C0841BAA">
      <w:start w:val="1"/>
      <w:numFmt w:val="bullet"/>
      <w:lvlText w:val="•"/>
      <w:lvlJc w:val="left"/>
      <w:pPr>
        <w:tabs>
          <w:tab w:val="num" w:pos="5040"/>
        </w:tabs>
        <w:ind w:left="5040" w:hanging="360"/>
      </w:pPr>
      <w:rPr>
        <w:rFonts w:ascii="Arial" w:hAnsi="Arial" w:cs="Times New Roman" w:hint="default"/>
      </w:rPr>
    </w:lvl>
    <w:lvl w:ilvl="7" w:tplc="C3F41ED4">
      <w:start w:val="1"/>
      <w:numFmt w:val="bullet"/>
      <w:lvlText w:val="•"/>
      <w:lvlJc w:val="left"/>
      <w:pPr>
        <w:tabs>
          <w:tab w:val="num" w:pos="5760"/>
        </w:tabs>
        <w:ind w:left="5760" w:hanging="360"/>
      </w:pPr>
      <w:rPr>
        <w:rFonts w:ascii="Arial" w:hAnsi="Arial" w:cs="Times New Roman" w:hint="default"/>
      </w:rPr>
    </w:lvl>
    <w:lvl w:ilvl="8" w:tplc="EB32612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99412F5"/>
    <w:multiLevelType w:val="hybridMultilevel"/>
    <w:tmpl w:val="E5965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F21975"/>
    <w:multiLevelType w:val="hybridMultilevel"/>
    <w:tmpl w:val="4FDC330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5361486">
    <w:abstractNumId w:val="1"/>
  </w:num>
  <w:num w:numId="2" w16cid:durableId="915823137">
    <w:abstractNumId w:val="19"/>
  </w:num>
  <w:num w:numId="3" w16cid:durableId="413552219">
    <w:abstractNumId w:val="9"/>
  </w:num>
  <w:num w:numId="4" w16cid:durableId="809054063">
    <w:abstractNumId w:val="13"/>
  </w:num>
  <w:num w:numId="5" w16cid:durableId="1070613802">
    <w:abstractNumId w:val="17"/>
  </w:num>
  <w:num w:numId="6" w16cid:durableId="1465737498">
    <w:abstractNumId w:val="15"/>
  </w:num>
  <w:num w:numId="7" w16cid:durableId="1815172277">
    <w:abstractNumId w:val="20"/>
  </w:num>
  <w:num w:numId="8" w16cid:durableId="2006128081">
    <w:abstractNumId w:val="0"/>
  </w:num>
  <w:num w:numId="9" w16cid:durableId="48117143">
    <w:abstractNumId w:val="2"/>
  </w:num>
  <w:num w:numId="10" w16cid:durableId="1842424232">
    <w:abstractNumId w:val="14"/>
  </w:num>
  <w:num w:numId="11" w16cid:durableId="1776631127">
    <w:abstractNumId w:val="8"/>
  </w:num>
  <w:num w:numId="12" w16cid:durableId="644550228">
    <w:abstractNumId w:val="7"/>
  </w:num>
  <w:num w:numId="13" w16cid:durableId="1291060379">
    <w:abstractNumId w:val="5"/>
  </w:num>
  <w:num w:numId="14" w16cid:durableId="601838987">
    <w:abstractNumId w:val="6"/>
  </w:num>
  <w:num w:numId="15" w16cid:durableId="654069105">
    <w:abstractNumId w:val="3"/>
  </w:num>
  <w:num w:numId="16" w16cid:durableId="1263804861">
    <w:abstractNumId w:val="21"/>
  </w:num>
  <w:num w:numId="17" w16cid:durableId="190732158">
    <w:abstractNumId w:val="11"/>
  </w:num>
  <w:num w:numId="18" w16cid:durableId="677730988">
    <w:abstractNumId w:val="12"/>
  </w:num>
  <w:num w:numId="19" w16cid:durableId="567615075">
    <w:abstractNumId w:val="18"/>
  </w:num>
  <w:num w:numId="20" w16cid:durableId="1410301096">
    <w:abstractNumId w:val="10"/>
  </w:num>
  <w:num w:numId="21" w16cid:durableId="1676228744">
    <w:abstractNumId w:val="4"/>
  </w:num>
  <w:num w:numId="22" w16cid:durableId="4626191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B5"/>
    <w:rsid w:val="000030D4"/>
    <w:rsid w:val="0000504B"/>
    <w:rsid w:val="00006E61"/>
    <w:rsid w:val="00007D50"/>
    <w:rsid w:val="00012E14"/>
    <w:rsid w:val="00015764"/>
    <w:rsid w:val="00020431"/>
    <w:rsid w:val="00021ED3"/>
    <w:rsid w:val="00024943"/>
    <w:rsid w:val="000300F1"/>
    <w:rsid w:val="00031B7C"/>
    <w:rsid w:val="000351B7"/>
    <w:rsid w:val="000353D6"/>
    <w:rsid w:val="00041C6C"/>
    <w:rsid w:val="000434CC"/>
    <w:rsid w:val="00045A86"/>
    <w:rsid w:val="000502C8"/>
    <w:rsid w:val="00054EBC"/>
    <w:rsid w:val="00055715"/>
    <w:rsid w:val="00062586"/>
    <w:rsid w:val="00062FBD"/>
    <w:rsid w:val="0006383C"/>
    <w:rsid w:val="00064D81"/>
    <w:rsid w:val="00065030"/>
    <w:rsid w:val="00074350"/>
    <w:rsid w:val="00077F41"/>
    <w:rsid w:val="00081741"/>
    <w:rsid w:val="00082790"/>
    <w:rsid w:val="00086EA9"/>
    <w:rsid w:val="00090DF8"/>
    <w:rsid w:val="00092FA8"/>
    <w:rsid w:val="000A51FF"/>
    <w:rsid w:val="000A5887"/>
    <w:rsid w:val="000A7194"/>
    <w:rsid w:val="000A7319"/>
    <w:rsid w:val="000C06BB"/>
    <w:rsid w:val="000C15D5"/>
    <w:rsid w:val="000C3C69"/>
    <w:rsid w:val="000C50AD"/>
    <w:rsid w:val="000D26D7"/>
    <w:rsid w:val="000D7496"/>
    <w:rsid w:val="000E2EB1"/>
    <w:rsid w:val="000E368A"/>
    <w:rsid w:val="000E3E8D"/>
    <w:rsid w:val="000E684E"/>
    <w:rsid w:val="000F0C46"/>
    <w:rsid w:val="000F5F15"/>
    <w:rsid w:val="000F7F4E"/>
    <w:rsid w:val="00100B68"/>
    <w:rsid w:val="00100CD0"/>
    <w:rsid w:val="00104D18"/>
    <w:rsid w:val="00105849"/>
    <w:rsid w:val="00115F30"/>
    <w:rsid w:val="00123043"/>
    <w:rsid w:val="0012437A"/>
    <w:rsid w:val="001247CF"/>
    <w:rsid w:val="0012484D"/>
    <w:rsid w:val="00124DE6"/>
    <w:rsid w:val="00125071"/>
    <w:rsid w:val="00125319"/>
    <w:rsid w:val="00126B34"/>
    <w:rsid w:val="001303D1"/>
    <w:rsid w:val="00134BB2"/>
    <w:rsid w:val="0013732D"/>
    <w:rsid w:val="001417B4"/>
    <w:rsid w:val="00141B37"/>
    <w:rsid w:val="00142C3B"/>
    <w:rsid w:val="00143481"/>
    <w:rsid w:val="0014722A"/>
    <w:rsid w:val="00147E65"/>
    <w:rsid w:val="00150F29"/>
    <w:rsid w:val="001522E4"/>
    <w:rsid w:val="001529B3"/>
    <w:rsid w:val="00152B2C"/>
    <w:rsid w:val="00152F4C"/>
    <w:rsid w:val="0015496A"/>
    <w:rsid w:val="001551DD"/>
    <w:rsid w:val="00155539"/>
    <w:rsid w:val="00157A36"/>
    <w:rsid w:val="00160B12"/>
    <w:rsid w:val="00160FD6"/>
    <w:rsid w:val="0016153B"/>
    <w:rsid w:val="00162F0B"/>
    <w:rsid w:val="00164394"/>
    <w:rsid w:val="001706DE"/>
    <w:rsid w:val="00170FD7"/>
    <w:rsid w:val="00171003"/>
    <w:rsid w:val="00172FF9"/>
    <w:rsid w:val="00173599"/>
    <w:rsid w:val="001754EE"/>
    <w:rsid w:val="00175F17"/>
    <w:rsid w:val="00180C5F"/>
    <w:rsid w:val="00180D04"/>
    <w:rsid w:val="00180D5A"/>
    <w:rsid w:val="0018425C"/>
    <w:rsid w:val="00184D9C"/>
    <w:rsid w:val="00192D4F"/>
    <w:rsid w:val="0019371A"/>
    <w:rsid w:val="001A3F3E"/>
    <w:rsid w:val="001A4F42"/>
    <w:rsid w:val="001A64E7"/>
    <w:rsid w:val="001A73F4"/>
    <w:rsid w:val="001B3C8A"/>
    <w:rsid w:val="001B73CE"/>
    <w:rsid w:val="001B7CA2"/>
    <w:rsid w:val="001C1898"/>
    <w:rsid w:val="001C3A0B"/>
    <w:rsid w:val="001C5287"/>
    <w:rsid w:val="001C713B"/>
    <w:rsid w:val="001D138C"/>
    <w:rsid w:val="001D2572"/>
    <w:rsid w:val="001D2EDF"/>
    <w:rsid w:val="001D35C5"/>
    <w:rsid w:val="001D41E0"/>
    <w:rsid w:val="001D4AAB"/>
    <w:rsid w:val="001D7725"/>
    <w:rsid w:val="001F0161"/>
    <w:rsid w:val="001F04A5"/>
    <w:rsid w:val="001F1F10"/>
    <w:rsid w:val="001F3CB0"/>
    <w:rsid w:val="001F4420"/>
    <w:rsid w:val="001F7D92"/>
    <w:rsid w:val="002069B3"/>
    <w:rsid w:val="0020700C"/>
    <w:rsid w:val="0020778A"/>
    <w:rsid w:val="00207B24"/>
    <w:rsid w:val="00211D2A"/>
    <w:rsid w:val="00212F8F"/>
    <w:rsid w:val="002136C5"/>
    <w:rsid w:val="0022056B"/>
    <w:rsid w:val="00222BC2"/>
    <w:rsid w:val="00223141"/>
    <w:rsid w:val="00223ADA"/>
    <w:rsid w:val="00226938"/>
    <w:rsid w:val="002342C3"/>
    <w:rsid w:val="00244591"/>
    <w:rsid w:val="00247496"/>
    <w:rsid w:val="00251908"/>
    <w:rsid w:val="0026103A"/>
    <w:rsid w:val="00271445"/>
    <w:rsid w:val="00277A10"/>
    <w:rsid w:val="00280556"/>
    <w:rsid w:val="00283287"/>
    <w:rsid w:val="0028381B"/>
    <w:rsid w:val="0028437D"/>
    <w:rsid w:val="00284C8D"/>
    <w:rsid w:val="0028505E"/>
    <w:rsid w:val="00286761"/>
    <w:rsid w:val="002978CF"/>
    <w:rsid w:val="00297C4A"/>
    <w:rsid w:val="002A555C"/>
    <w:rsid w:val="002A731D"/>
    <w:rsid w:val="002B019A"/>
    <w:rsid w:val="002B14EB"/>
    <w:rsid w:val="002C11C1"/>
    <w:rsid w:val="002C299B"/>
    <w:rsid w:val="002C414B"/>
    <w:rsid w:val="002C63D6"/>
    <w:rsid w:val="002D3BAA"/>
    <w:rsid w:val="002D53DA"/>
    <w:rsid w:val="002D53E5"/>
    <w:rsid w:val="002D59BC"/>
    <w:rsid w:val="002D6A12"/>
    <w:rsid w:val="002D700F"/>
    <w:rsid w:val="002E2EB3"/>
    <w:rsid w:val="002E343A"/>
    <w:rsid w:val="002E52E0"/>
    <w:rsid w:val="002E5405"/>
    <w:rsid w:val="002E5CD4"/>
    <w:rsid w:val="002E6B57"/>
    <w:rsid w:val="002F1EA8"/>
    <w:rsid w:val="00300216"/>
    <w:rsid w:val="00305106"/>
    <w:rsid w:val="003070C6"/>
    <w:rsid w:val="00307D16"/>
    <w:rsid w:val="00307E82"/>
    <w:rsid w:val="003102EF"/>
    <w:rsid w:val="00314BB0"/>
    <w:rsid w:val="003152D9"/>
    <w:rsid w:val="00316153"/>
    <w:rsid w:val="00320507"/>
    <w:rsid w:val="0032106E"/>
    <w:rsid w:val="00325A5B"/>
    <w:rsid w:val="00331F0A"/>
    <w:rsid w:val="00332628"/>
    <w:rsid w:val="00333AE6"/>
    <w:rsid w:val="003352B4"/>
    <w:rsid w:val="00335386"/>
    <w:rsid w:val="00336072"/>
    <w:rsid w:val="003418E0"/>
    <w:rsid w:val="00343B7F"/>
    <w:rsid w:val="00345DE8"/>
    <w:rsid w:val="0035590F"/>
    <w:rsid w:val="003575B8"/>
    <w:rsid w:val="00357C90"/>
    <w:rsid w:val="00360090"/>
    <w:rsid w:val="00361BCF"/>
    <w:rsid w:val="00363319"/>
    <w:rsid w:val="00365101"/>
    <w:rsid w:val="00372259"/>
    <w:rsid w:val="00374E75"/>
    <w:rsid w:val="003804F7"/>
    <w:rsid w:val="003805E7"/>
    <w:rsid w:val="00382778"/>
    <w:rsid w:val="00386E6E"/>
    <w:rsid w:val="00392FE8"/>
    <w:rsid w:val="003942F4"/>
    <w:rsid w:val="00395D93"/>
    <w:rsid w:val="003A2CF0"/>
    <w:rsid w:val="003A4328"/>
    <w:rsid w:val="003A7004"/>
    <w:rsid w:val="003B2172"/>
    <w:rsid w:val="003B616E"/>
    <w:rsid w:val="003B6A2B"/>
    <w:rsid w:val="003C31E9"/>
    <w:rsid w:val="003C340F"/>
    <w:rsid w:val="003C3A51"/>
    <w:rsid w:val="003C404F"/>
    <w:rsid w:val="003C59FA"/>
    <w:rsid w:val="003C7543"/>
    <w:rsid w:val="003C7C4D"/>
    <w:rsid w:val="003D03A4"/>
    <w:rsid w:val="003D1701"/>
    <w:rsid w:val="003D23E7"/>
    <w:rsid w:val="003D2C62"/>
    <w:rsid w:val="003D51D7"/>
    <w:rsid w:val="003D6A10"/>
    <w:rsid w:val="003D74A2"/>
    <w:rsid w:val="003E041F"/>
    <w:rsid w:val="003E06B0"/>
    <w:rsid w:val="003E40EE"/>
    <w:rsid w:val="003E650A"/>
    <w:rsid w:val="003E6C8C"/>
    <w:rsid w:val="003E6EC7"/>
    <w:rsid w:val="003F06BF"/>
    <w:rsid w:val="003F0789"/>
    <w:rsid w:val="003F17CC"/>
    <w:rsid w:val="003F21B7"/>
    <w:rsid w:val="003F5E7B"/>
    <w:rsid w:val="00403377"/>
    <w:rsid w:val="004040A6"/>
    <w:rsid w:val="004054A6"/>
    <w:rsid w:val="00407243"/>
    <w:rsid w:val="00410840"/>
    <w:rsid w:val="00411101"/>
    <w:rsid w:val="00413C5C"/>
    <w:rsid w:val="004215BF"/>
    <w:rsid w:val="0042170C"/>
    <w:rsid w:val="0042462F"/>
    <w:rsid w:val="00424F07"/>
    <w:rsid w:val="00425373"/>
    <w:rsid w:val="004264A6"/>
    <w:rsid w:val="004367D0"/>
    <w:rsid w:val="004370F0"/>
    <w:rsid w:val="0043743E"/>
    <w:rsid w:val="004416CD"/>
    <w:rsid w:val="00441F5E"/>
    <w:rsid w:val="00444E52"/>
    <w:rsid w:val="00447AC7"/>
    <w:rsid w:val="00447DF3"/>
    <w:rsid w:val="004503DE"/>
    <w:rsid w:val="00453F50"/>
    <w:rsid w:val="004550B8"/>
    <w:rsid w:val="00455D32"/>
    <w:rsid w:val="00456FC2"/>
    <w:rsid w:val="00457D59"/>
    <w:rsid w:val="00461FA8"/>
    <w:rsid w:val="00464122"/>
    <w:rsid w:val="004707A0"/>
    <w:rsid w:val="004738BA"/>
    <w:rsid w:val="00473C22"/>
    <w:rsid w:val="00475F4E"/>
    <w:rsid w:val="00476342"/>
    <w:rsid w:val="004801DE"/>
    <w:rsid w:val="00481C96"/>
    <w:rsid w:val="0048417E"/>
    <w:rsid w:val="004854C8"/>
    <w:rsid w:val="00487509"/>
    <w:rsid w:val="00495D11"/>
    <w:rsid w:val="004A002E"/>
    <w:rsid w:val="004A07FD"/>
    <w:rsid w:val="004A0C86"/>
    <w:rsid w:val="004A22DD"/>
    <w:rsid w:val="004A2D2E"/>
    <w:rsid w:val="004A4378"/>
    <w:rsid w:val="004A74B1"/>
    <w:rsid w:val="004A7CA9"/>
    <w:rsid w:val="004B1A0B"/>
    <w:rsid w:val="004B2F44"/>
    <w:rsid w:val="004B3526"/>
    <w:rsid w:val="004C19F1"/>
    <w:rsid w:val="004C19F7"/>
    <w:rsid w:val="004C3D7E"/>
    <w:rsid w:val="004C4B2D"/>
    <w:rsid w:val="004C516E"/>
    <w:rsid w:val="004C52A6"/>
    <w:rsid w:val="004C53EF"/>
    <w:rsid w:val="004D1F42"/>
    <w:rsid w:val="004D517C"/>
    <w:rsid w:val="004D6D15"/>
    <w:rsid w:val="004D77D6"/>
    <w:rsid w:val="004E2160"/>
    <w:rsid w:val="004E5CCD"/>
    <w:rsid w:val="004E6372"/>
    <w:rsid w:val="004F08F3"/>
    <w:rsid w:val="004F3C92"/>
    <w:rsid w:val="004F4083"/>
    <w:rsid w:val="004F4EBF"/>
    <w:rsid w:val="004F7B34"/>
    <w:rsid w:val="0050002B"/>
    <w:rsid w:val="00500EC8"/>
    <w:rsid w:val="00501666"/>
    <w:rsid w:val="0050282D"/>
    <w:rsid w:val="0050392C"/>
    <w:rsid w:val="005043E1"/>
    <w:rsid w:val="00505C70"/>
    <w:rsid w:val="00507AC5"/>
    <w:rsid w:val="005103E3"/>
    <w:rsid w:val="00511BBC"/>
    <w:rsid w:val="00511F55"/>
    <w:rsid w:val="00513617"/>
    <w:rsid w:val="00513FDF"/>
    <w:rsid w:val="00514742"/>
    <w:rsid w:val="00514B25"/>
    <w:rsid w:val="005153FC"/>
    <w:rsid w:val="00515D17"/>
    <w:rsid w:val="00517569"/>
    <w:rsid w:val="0052003D"/>
    <w:rsid w:val="00520171"/>
    <w:rsid w:val="0052248B"/>
    <w:rsid w:val="00522BC6"/>
    <w:rsid w:val="0052729E"/>
    <w:rsid w:val="00532156"/>
    <w:rsid w:val="0053612D"/>
    <w:rsid w:val="00537E91"/>
    <w:rsid w:val="005413FA"/>
    <w:rsid w:val="0054267F"/>
    <w:rsid w:val="00551301"/>
    <w:rsid w:val="0055248E"/>
    <w:rsid w:val="00554267"/>
    <w:rsid w:val="0055456F"/>
    <w:rsid w:val="005546E7"/>
    <w:rsid w:val="00554DEC"/>
    <w:rsid w:val="00555524"/>
    <w:rsid w:val="0055618D"/>
    <w:rsid w:val="00560B6E"/>
    <w:rsid w:val="0056240F"/>
    <w:rsid w:val="005628DF"/>
    <w:rsid w:val="00563DBA"/>
    <w:rsid w:val="00564AEA"/>
    <w:rsid w:val="0056702C"/>
    <w:rsid w:val="00567D0F"/>
    <w:rsid w:val="00573397"/>
    <w:rsid w:val="00573AD4"/>
    <w:rsid w:val="00574F15"/>
    <w:rsid w:val="0057554C"/>
    <w:rsid w:val="00576773"/>
    <w:rsid w:val="0057689C"/>
    <w:rsid w:val="0057733F"/>
    <w:rsid w:val="005846B0"/>
    <w:rsid w:val="00586B48"/>
    <w:rsid w:val="00587B6E"/>
    <w:rsid w:val="00593F6E"/>
    <w:rsid w:val="005964FB"/>
    <w:rsid w:val="005968CC"/>
    <w:rsid w:val="0059746C"/>
    <w:rsid w:val="005A04AA"/>
    <w:rsid w:val="005A0AAE"/>
    <w:rsid w:val="005A0C3D"/>
    <w:rsid w:val="005A1086"/>
    <w:rsid w:val="005A4E70"/>
    <w:rsid w:val="005A5B15"/>
    <w:rsid w:val="005B06E1"/>
    <w:rsid w:val="005B37F5"/>
    <w:rsid w:val="005B4D66"/>
    <w:rsid w:val="005B6028"/>
    <w:rsid w:val="005B667B"/>
    <w:rsid w:val="005C2BC4"/>
    <w:rsid w:val="005D165A"/>
    <w:rsid w:val="005D3DA6"/>
    <w:rsid w:val="005E1138"/>
    <w:rsid w:val="005E20B7"/>
    <w:rsid w:val="005E4E27"/>
    <w:rsid w:val="005E563D"/>
    <w:rsid w:val="005E5FA3"/>
    <w:rsid w:val="005E7B76"/>
    <w:rsid w:val="005F38E9"/>
    <w:rsid w:val="005F3B96"/>
    <w:rsid w:val="005F5DBB"/>
    <w:rsid w:val="005F66F3"/>
    <w:rsid w:val="005F7381"/>
    <w:rsid w:val="00605144"/>
    <w:rsid w:val="00607E05"/>
    <w:rsid w:val="0061221A"/>
    <w:rsid w:val="006131CF"/>
    <w:rsid w:val="006152ED"/>
    <w:rsid w:val="006162DE"/>
    <w:rsid w:val="006172CB"/>
    <w:rsid w:val="00617D62"/>
    <w:rsid w:val="0062392C"/>
    <w:rsid w:val="00625D77"/>
    <w:rsid w:val="0062751F"/>
    <w:rsid w:val="00630250"/>
    <w:rsid w:val="0063074B"/>
    <w:rsid w:val="006308AA"/>
    <w:rsid w:val="006309C0"/>
    <w:rsid w:val="006352B5"/>
    <w:rsid w:val="006368A3"/>
    <w:rsid w:val="006373AB"/>
    <w:rsid w:val="00642896"/>
    <w:rsid w:val="006466AC"/>
    <w:rsid w:val="00646E17"/>
    <w:rsid w:val="00652A5F"/>
    <w:rsid w:val="006539CB"/>
    <w:rsid w:val="006548C6"/>
    <w:rsid w:val="00664FE9"/>
    <w:rsid w:val="00665763"/>
    <w:rsid w:val="00667A2D"/>
    <w:rsid w:val="00667C2A"/>
    <w:rsid w:val="00672871"/>
    <w:rsid w:val="006732A1"/>
    <w:rsid w:val="00673E2D"/>
    <w:rsid w:val="00674C68"/>
    <w:rsid w:val="00675111"/>
    <w:rsid w:val="00676791"/>
    <w:rsid w:val="00676AC2"/>
    <w:rsid w:val="00677C2E"/>
    <w:rsid w:val="00684481"/>
    <w:rsid w:val="00686F03"/>
    <w:rsid w:val="006913C7"/>
    <w:rsid w:val="006959CD"/>
    <w:rsid w:val="00695BEC"/>
    <w:rsid w:val="00696000"/>
    <w:rsid w:val="00696879"/>
    <w:rsid w:val="00697AFC"/>
    <w:rsid w:val="006A489D"/>
    <w:rsid w:val="006B0090"/>
    <w:rsid w:val="006B036E"/>
    <w:rsid w:val="006B126B"/>
    <w:rsid w:val="006B2A92"/>
    <w:rsid w:val="006B5DA5"/>
    <w:rsid w:val="006C165E"/>
    <w:rsid w:val="006C1AE5"/>
    <w:rsid w:val="006C33B4"/>
    <w:rsid w:val="006C4CB3"/>
    <w:rsid w:val="006C6B88"/>
    <w:rsid w:val="006D0669"/>
    <w:rsid w:val="006D39DC"/>
    <w:rsid w:val="006D3CC7"/>
    <w:rsid w:val="006E2978"/>
    <w:rsid w:val="006E5D38"/>
    <w:rsid w:val="006E6292"/>
    <w:rsid w:val="006F02D7"/>
    <w:rsid w:val="006F2D97"/>
    <w:rsid w:val="006F74C5"/>
    <w:rsid w:val="0070005A"/>
    <w:rsid w:val="00703949"/>
    <w:rsid w:val="00707124"/>
    <w:rsid w:val="0070753A"/>
    <w:rsid w:val="00707696"/>
    <w:rsid w:val="00711F73"/>
    <w:rsid w:val="00713350"/>
    <w:rsid w:val="00721C8C"/>
    <w:rsid w:val="00727F9A"/>
    <w:rsid w:val="0073066E"/>
    <w:rsid w:val="007351A1"/>
    <w:rsid w:val="007365EE"/>
    <w:rsid w:val="007373D6"/>
    <w:rsid w:val="007374F8"/>
    <w:rsid w:val="00737647"/>
    <w:rsid w:val="0074262F"/>
    <w:rsid w:val="0074344B"/>
    <w:rsid w:val="007444F6"/>
    <w:rsid w:val="00745203"/>
    <w:rsid w:val="00746927"/>
    <w:rsid w:val="00755131"/>
    <w:rsid w:val="00757DCD"/>
    <w:rsid w:val="00761566"/>
    <w:rsid w:val="00761AC9"/>
    <w:rsid w:val="0076317B"/>
    <w:rsid w:val="0076337F"/>
    <w:rsid w:val="00767166"/>
    <w:rsid w:val="00772657"/>
    <w:rsid w:val="007740D4"/>
    <w:rsid w:val="007768D4"/>
    <w:rsid w:val="007800FF"/>
    <w:rsid w:val="00781003"/>
    <w:rsid w:val="00782FB2"/>
    <w:rsid w:val="007830FC"/>
    <w:rsid w:val="007831F9"/>
    <w:rsid w:val="00783B5B"/>
    <w:rsid w:val="00784BBB"/>
    <w:rsid w:val="0078674F"/>
    <w:rsid w:val="00790B1C"/>
    <w:rsid w:val="00791E01"/>
    <w:rsid w:val="0079226A"/>
    <w:rsid w:val="00794A88"/>
    <w:rsid w:val="007B2F72"/>
    <w:rsid w:val="007B6B22"/>
    <w:rsid w:val="007C2FDB"/>
    <w:rsid w:val="007C427C"/>
    <w:rsid w:val="007C61E7"/>
    <w:rsid w:val="007C778C"/>
    <w:rsid w:val="007C7DE6"/>
    <w:rsid w:val="007D6A43"/>
    <w:rsid w:val="007E0EE7"/>
    <w:rsid w:val="007F20BE"/>
    <w:rsid w:val="007F574C"/>
    <w:rsid w:val="007F5BA9"/>
    <w:rsid w:val="0080025A"/>
    <w:rsid w:val="00805990"/>
    <w:rsid w:val="008065C0"/>
    <w:rsid w:val="008100B2"/>
    <w:rsid w:val="00810680"/>
    <w:rsid w:val="00815333"/>
    <w:rsid w:val="00816C8B"/>
    <w:rsid w:val="00821319"/>
    <w:rsid w:val="0082416C"/>
    <w:rsid w:val="0082473B"/>
    <w:rsid w:val="00825298"/>
    <w:rsid w:val="00827664"/>
    <w:rsid w:val="00837EA3"/>
    <w:rsid w:val="008408A3"/>
    <w:rsid w:val="00843C4D"/>
    <w:rsid w:val="0084696A"/>
    <w:rsid w:val="00851393"/>
    <w:rsid w:val="008552F6"/>
    <w:rsid w:val="00857576"/>
    <w:rsid w:val="00857792"/>
    <w:rsid w:val="0086199F"/>
    <w:rsid w:val="00861EED"/>
    <w:rsid w:val="008635C0"/>
    <w:rsid w:val="0086440C"/>
    <w:rsid w:val="008661CC"/>
    <w:rsid w:val="008673F8"/>
    <w:rsid w:val="00867C26"/>
    <w:rsid w:val="008715FB"/>
    <w:rsid w:val="008769CD"/>
    <w:rsid w:val="00882757"/>
    <w:rsid w:val="0088534A"/>
    <w:rsid w:val="00890BF8"/>
    <w:rsid w:val="00891A2D"/>
    <w:rsid w:val="00893206"/>
    <w:rsid w:val="008A2C73"/>
    <w:rsid w:val="008A34F7"/>
    <w:rsid w:val="008A69B6"/>
    <w:rsid w:val="008A742A"/>
    <w:rsid w:val="008B0412"/>
    <w:rsid w:val="008B7349"/>
    <w:rsid w:val="008C360A"/>
    <w:rsid w:val="008C3898"/>
    <w:rsid w:val="008C4B95"/>
    <w:rsid w:val="008D1528"/>
    <w:rsid w:val="008D4AD9"/>
    <w:rsid w:val="008E17C3"/>
    <w:rsid w:val="008E360E"/>
    <w:rsid w:val="008E55D6"/>
    <w:rsid w:val="008E5827"/>
    <w:rsid w:val="008E7ED9"/>
    <w:rsid w:val="008F3FF6"/>
    <w:rsid w:val="00901387"/>
    <w:rsid w:val="009028B7"/>
    <w:rsid w:val="009067B1"/>
    <w:rsid w:val="0091089C"/>
    <w:rsid w:val="00915E84"/>
    <w:rsid w:val="00920A7D"/>
    <w:rsid w:val="009238B6"/>
    <w:rsid w:val="0093150E"/>
    <w:rsid w:val="00931D11"/>
    <w:rsid w:val="00936C41"/>
    <w:rsid w:val="00937535"/>
    <w:rsid w:val="00941E48"/>
    <w:rsid w:val="00945C60"/>
    <w:rsid w:val="00950AD6"/>
    <w:rsid w:val="00951B22"/>
    <w:rsid w:val="00960C1C"/>
    <w:rsid w:val="009611C5"/>
    <w:rsid w:val="009612CB"/>
    <w:rsid w:val="00963712"/>
    <w:rsid w:val="00972849"/>
    <w:rsid w:val="00974329"/>
    <w:rsid w:val="00975475"/>
    <w:rsid w:val="0097741D"/>
    <w:rsid w:val="009812AD"/>
    <w:rsid w:val="00981932"/>
    <w:rsid w:val="00985F70"/>
    <w:rsid w:val="009912FB"/>
    <w:rsid w:val="009975C5"/>
    <w:rsid w:val="009A197D"/>
    <w:rsid w:val="009A34F3"/>
    <w:rsid w:val="009A4439"/>
    <w:rsid w:val="009A64B6"/>
    <w:rsid w:val="009A7CA9"/>
    <w:rsid w:val="009B257D"/>
    <w:rsid w:val="009B4BFE"/>
    <w:rsid w:val="009B75C7"/>
    <w:rsid w:val="009C122A"/>
    <w:rsid w:val="009C4F5F"/>
    <w:rsid w:val="009C54D2"/>
    <w:rsid w:val="009D224B"/>
    <w:rsid w:val="009D2889"/>
    <w:rsid w:val="009D3102"/>
    <w:rsid w:val="009D34B6"/>
    <w:rsid w:val="009D406F"/>
    <w:rsid w:val="009D6A0F"/>
    <w:rsid w:val="009D79D0"/>
    <w:rsid w:val="009D7ACE"/>
    <w:rsid w:val="009E5CC9"/>
    <w:rsid w:val="009E6131"/>
    <w:rsid w:val="009E6166"/>
    <w:rsid w:val="009F05A1"/>
    <w:rsid w:val="009F44B0"/>
    <w:rsid w:val="00A030EF"/>
    <w:rsid w:val="00A044AF"/>
    <w:rsid w:val="00A0730B"/>
    <w:rsid w:val="00A073A1"/>
    <w:rsid w:val="00A1137B"/>
    <w:rsid w:val="00A13132"/>
    <w:rsid w:val="00A14096"/>
    <w:rsid w:val="00A270AB"/>
    <w:rsid w:val="00A270B5"/>
    <w:rsid w:val="00A27DD3"/>
    <w:rsid w:val="00A32DFD"/>
    <w:rsid w:val="00A35E7B"/>
    <w:rsid w:val="00A37584"/>
    <w:rsid w:val="00A40044"/>
    <w:rsid w:val="00A456CC"/>
    <w:rsid w:val="00A52719"/>
    <w:rsid w:val="00A52EC7"/>
    <w:rsid w:val="00A53056"/>
    <w:rsid w:val="00A53953"/>
    <w:rsid w:val="00A57721"/>
    <w:rsid w:val="00A61F60"/>
    <w:rsid w:val="00A63925"/>
    <w:rsid w:val="00A63D8C"/>
    <w:rsid w:val="00A67336"/>
    <w:rsid w:val="00A774A1"/>
    <w:rsid w:val="00A77EF2"/>
    <w:rsid w:val="00A80847"/>
    <w:rsid w:val="00A83F3A"/>
    <w:rsid w:val="00A90D0A"/>
    <w:rsid w:val="00A9169E"/>
    <w:rsid w:val="00A9204B"/>
    <w:rsid w:val="00A92763"/>
    <w:rsid w:val="00A9643B"/>
    <w:rsid w:val="00AA07CB"/>
    <w:rsid w:val="00AA5D5B"/>
    <w:rsid w:val="00AB1124"/>
    <w:rsid w:val="00AB17A9"/>
    <w:rsid w:val="00AB5A93"/>
    <w:rsid w:val="00AB79FF"/>
    <w:rsid w:val="00AB7C50"/>
    <w:rsid w:val="00AC0DFF"/>
    <w:rsid w:val="00AC225F"/>
    <w:rsid w:val="00AC33BA"/>
    <w:rsid w:val="00AC46DE"/>
    <w:rsid w:val="00AD0016"/>
    <w:rsid w:val="00AD0144"/>
    <w:rsid w:val="00AD2657"/>
    <w:rsid w:val="00AD2CF4"/>
    <w:rsid w:val="00AD3454"/>
    <w:rsid w:val="00AD6EFF"/>
    <w:rsid w:val="00AE0366"/>
    <w:rsid w:val="00AE2775"/>
    <w:rsid w:val="00AE31D2"/>
    <w:rsid w:val="00AE3AB2"/>
    <w:rsid w:val="00AE4E50"/>
    <w:rsid w:val="00AE56B2"/>
    <w:rsid w:val="00AE7570"/>
    <w:rsid w:val="00AF0E2F"/>
    <w:rsid w:val="00AF1896"/>
    <w:rsid w:val="00AF4056"/>
    <w:rsid w:val="00B008A3"/>
    <w:rsid w:val="00B01FC3"/>
    <w:rsid w:val="00B052DF"/>
    <w:rsid w:val="00B06184"/>
    <w:rsid w:val="00B13738"/>
    <w:rsid w:val="00B151C8"/>
    <w:rsid w:val="00B22AF6"/>
    <w:rsid w:val="00B24A66"/>
    <w:rsid w:val="00B25D5F"/>
    <w:rsid w:val="00B2652B"/>
    <w:rsid w:val="00B26C7F"/>
    <w:rsid w:val="00B3197C"/>
    <w:rsid w:val="00B33014"/>
    <w:rsid w:val="00B332CF"/>
    <w:rsid w:val="00B34952"/>
    <w:rsid w:val="00B359E2"/>
    <w:rsid w:val="00B41208"/>
    <w:rsid w:val="00B47BA4"/>
    <w:rsid w:val="00B504E5"/>
    <w:rsid w:val="00B50F6F"/>
    <w:rsid w:val="00B53A66"/>
    <w:rsid w:val="00B55D5C"/>
    <w:rsid w:val="00B57298"/>
    <w:rsid w:val="00B57348"/>
    <w:rsid w:val="00B61C57"/>
    <w:rsid w:val="00B63178"/>
    <w:rsid w:val="00B659DA"/>
    <w:rsid w:val="00B66653"/>
    <w:rsid w:val="00B67D5B"/>
    <w:rsid w:val="00B70A08"/>
    <w:rsid w:val="00B70D6D"/>
    <w:rsid w:val="00B71374"/>
    <w:rsid w:val="00B73651"/>
    <w:rsid w:val="00B749C3"/>
    <w:rsid w:val="00B74C12"/>
    <w:rsid w:val="00B7673B"/>
    <w:rsid w:val="00B80B99"/>
    <w:rsid w:val="00B81980"/>
    <w:rsid w:val="00B82B05"/>
    <w:rsid w:val="00B82D19"/>
    <w:rsid w:val="00B91370"/>
    <w:rsid w:val="00B93497"/>
    <w:rsid w:val="00B9389F"/>
    <w:rsid w:val="00B95E3B"/>
    <w:rsid w:val="00BA3FA7"/>
    <w:rsid w:val="00BA42F1"/>
    <w:rsid w:val="00BA69BA"/>
    <w:rsid w:val="00BB00C1"/>
    <w:rsid w:val="00BB15CF"/>
    <w:rsid w:val="00BB6DBD"/>
    <w:rsid w:val="00BC143F"/>
    <w:rsid w:val="00BC1B59"/>
    <w:rsid w:val="00BC2179"/>
    <w:rsid w:val="00BC48E7"/>
    <w:rsid w:val="00BC7C6A"/>
    <w:rsid w:val="00BD14BF"/>
    <w:rsid w:val="00BD1C37"/>
    <w:rsid w:val="00BD20FC"/>
    <w:rsid w:val="00BD46DB"/>
    <w:rsid w:val="00BD7B1A"/>
    <w:rsid w:val="00BE0120"/>
    <w:rsid w:val="00BE1C14"/>
    <w:rsid w:val="00BE29BF"/>
    <w:rsid w:val="00BE2BB9"/>
    <w:rsid w:val="00BE3AF6"/>
    <w:rsid w:val="00BE4BD1"/>
    <w:rsid w:val="00BF3DA4"/>
    <w:rsid w:val="00BF443B"/>
    <w:rsid w:val="00BF7598"/>
    <w:rsid w:val="00C01695"/>
    <w:rsid w:val="00C02C1B"/>
    <w:rsid w:val="00C02C43"/>
    <w:rsid w:val="00C062DE"/>
    <w:rsid w:val="00C11A5A"/>
    <w:rsid w:val="00C11D9D"/>
    <w:rsid w:val="00C15B58"/>
    <w:rsid w:val="00C16407"/>
    <w:rsid w:val="00C17367"/>
    <w:rsid w:val="00C209B3"/>
    <w:rsid w:val="00C21681"/>
    <w:rsid w:val="00C21706"/>
    <w:rsid w:val="00C277E3"/>
    <w:rsid w:val="00C358D0"/>
    <w:rsid w:val="00C40E80"/>
    <w:rsid w:val="00C41AF3"/>
    <w:rsid w:val="00C435E3"/>
    <w:rsid w:val="00C450EB"/>
    <w:rsid w:val="00C5486D"/>
    <w:rsid w:val="00C55D3E"/>
    <w:rsid w:val="00C55E8D"/>
    <w:rsid w:val="00C55F0B"/>
    <w:rsid w:val="00C61EBE"/>
    <w:rsid w:val="00C63961"/>
    <w:rsid w:val="00C6651F"/>
    <w:rsid w:val="00C72BB6"/>
    <w:rsid w:val="00C74712"/>
    <w:rsid w:val="00C75F97"/>
    <w:rsid w:val="00C774D2"/>
    <w:rsid w:val="00C811AB"/>
    <w:rsid w:val="00C82A85"/>
    <w:rsid w:val="00C83B0D"/>
    <w:rsid w:val="00C84A6E"/>
    <w:rsid w:val="00C84D83"/>
    <w:rsid w:val="00C867F5"/>
    <w:rsid w:val="00C92232"/>
    <w:rsid w:val="00CA0299"/>
    <w:rsid w:val="00CA2292"/>
    <w:rsid w:val="00CA309D"/>
    <w:rsid w:val="00CA44ED"/>
    <w:rsid w:val="00CA4E33"/>
    <w:rsid w:val="00CB19D2"/>
    <w:rsid w:val="00CB2186"/>
    <w:rsid w:val="00CC2AF1"/>
    <w:rsid w:val="00CC2D5B"/>
    <w:rsid w:val="00CC2D87"/>
    <w:rsid w:val="00CC7EF6"/>
    <w:rsid w:val="00CD35E7"/>
    <w:rsid w:val="00CD4CF3"/>
    <w:rsid w:val="00CD601F"/>
    <w:rsid w:val="00CD74C6"/>
    <w:rsid w:val="00CD7C5D"/>
    <w:rsid w:val="00CE5499"/>
    <w:rsid w:val="00CE7328"/>
    <w:rsid w:val="00CF008F"/>
    <w:rsid w:val="00CF684A"/>
    <w:rsid w:val="00D0125C"/>
    <w:rsid w:val="00D1036D"/>
    <w:rsid w:val="00D11057"/>
    <w:rsid w:val="00D12AC9"/>
    <w:rsid w:val="00D155AC"/>
    <w:rsid w:val="00D22AA0"/>
    <w:rsid w:val="00D231CC"/>
    <w:rsid w:val="00D2496A"/>
    <w:rsid w:val="00D30036"/>
    <w:rsid w:val="00D30DED"/>
    <w:rsid w:val="00D32A0B"/>
    <w:rsid w:val="00D33DDC"/>
    <w:rsid w:val="00D3423B"/>
    <w:rsid w:val="00D34C32"/>
    <w:rsid w:val="00D36E1E"/>
    <w:rsid w:val="00D41B01"/>
    <w:rsid w:val="00D42331"/>
    <w:rsid w:val="00D43CFD"/>
    <w:rsid w:val="00D451C6"/>
    <w:rsid w:val="00D45EEA"/>
    <w:rsid w:val="00D46CA5"/>
    <w:rsid w:val="00D47911"/>
    <w:rsid w:val="00D5199E"/>
    <w:rsid w:val="00D5289A"/>
    <w:rsid w:val="00D57522"/>
    <w:rsid w:val="00D61477"/>
    <w:rsid w:val="00D64EE2"/>
    <w:rsid w:val="00D700AE"/>
    <w:rsid w:val="00D70330"/>
    <w:rsid w:val="00D721C1"/>
    <w:rsid w:val="00D730B0"/>
    <w:rsid w:val="00D73A20"/>
    <w:rsid w:val="00D76DC0"/>
    <w:rsid w:val="00D846D0"/>
    <w:rsid w:val="00D90C84"/>
    <w:rsid w:val="00D95831"/>
    <w:rsid w:val="00DA1058"/>
    <w:rsid w:val="00DA13BF"/>
    <w:rsid w:val="00DA55C4"/>
    <w:rsid w:val="00DA639E"/>
    <w:rsid w:val="00DA6F69"/>
    <w:rsid w:val="00DB08AA"/>
    <w:rsid w:val="00DB4BFE"/>
    <w:rsid w:val="00DB57C3"/>
    <w:rsid w:val="00DB6C1A"/>
    <w:rsid w:val="00DC0886"/>
    <w:rsid w:val="00DC0D36"/>
    <w:rsid w:val="00DC17A0"/>
    <w:rsid w:val="00DC19F9"/>
    <w:rsid w:val="00DC1CD3"/>
    <w:rsid w:val="00DC226C"/>
    <w:rsid w:val="00DC617D"/>
    <w:rsid w:val="00DC64F8"/>
    <w:rsid w:val="00DC6F33"/>
    <w:rsid w:val="00DD09C6"/>
    <w:rsid w:val="00DD157F"/>
    <w:rsid w:val="00DD2E02"/>
    <w:rsid w:val="00DD338A"/>
    <w:rsid w:val="00DE44C3"/>
    <w:rsid w:val="00DE6331"/>
    <w:rsid w:val="00DF2A1B"/>
    <w:rsid w:val="00DF3F79"/>
    <w:rsid w:val="00DF418F"/>
    <w:rsid w:val="00DF4A4E"/>
    <w:rsid w:val="00DF54BC"/>
    <w:rsid w:val="00DF5D39"/>
    <w:rsid w:val="00DF6428"/>
    <w:rsid w:val="00DF7F65"/>
    <w:rsid w:val="00E01024"/>
    <w:rsid w:val="00E01BD4"/>
    <w:rsid w:val="00E02852"/>
    <w:rsid w:val="00E1102D"/>
    <w:rsid w:val="00E137D5"/>
    <w:rsid w:val="00E1523F"/>
    <w:rsid w:val="00E15A97"/>
    <w:rsid w:val="00E16A63"/>
    <w:rsid w:val="00E17F07"/>
    <w:rsid w:val="00E22A63"/>
    <w:rsid w:val="00E242D4"/>
    <w:rsid w:val="00E27A87"/>
    <w:rsid w:val="00E314CF"/>
    <w:rsid w:val="00E32601"/>
    <w:rsid w:val="00E33C62"/>
    <w:rsid w:val="00E34600"/>
    <w:rsid w:val="00E35F48"/>
    <w:rsid w:val="00E40323"/>
    <w:rsid w:val="00E41F06"/>
    <w:rsid w:val="00E41F10"/>
    <w:rsid w:val="00E423FA"/>
    <w:rsid w:val="00E42576"/>
    <w:rsid w:val="00E44E9B"/>
    <w:rsid w:val="00E45B04"/>
    <w:rsid w:val="00E50A8E"/>
    <w:rsid w:val="00E51C30"/>
    <w:rsid w:val="00E52882"/>
    <w:rsid w:val="00E55265"/>
    <w:rsid w:val="00E55517"/>
    <w:rsid w:val="00E56849"/>
    <w:rsid w:val="00E62F9D"/>
    <w:rsid w:val="00E67274"/>
    <w:rsid w:val="00E7127C"/>
    <w:rsid w:val="00E71947"/>
    <w:rsid w:val="00E84BA1"/>
    <w:rsid w:val="00E84BF8"/>
    <w:rsid w:val="00E84CB9"/>
    <w:rsid w:val="00E932B0"/>
    <w:rsid w:val="00E93504"/>
    <w:rsid w:val="00E93D4D"/>
    <w:rsid w:val="00E94677"/>
    <w:rsid w:val="00E9494E"/>
    <w:rsid w:val="00E94ACF"/>
    <w:rsid w:val="00E95716"/>
    <w:rsid w:val="00E96F11"/>
    <w:rsid w:val="00EA4DCB"/>
    <w:rsid w:val="00EA541D"/>
    <w:rsid w:val="00EA6377"/>
    <w:rsid w:val="00EA6D5C"/>
    <w:rsid w:val="00EB2748"/>
    <w:rsid w:val="00EB3CC5"/>
    <w:rsid w:val="00EB6B2C"/>
    <w:rsid w:val="00EC0081"/>
    <w:rsid w:val="00EC09C2"/>
    <w:rsid w:val="00EC4E2E"/>
    <w:rsid w:val="00EC74AD"/>
    <w:rsid w:val="00EE0377"/>
    <w:rsid w:val="00EE0A8A"/>
    <w:rsid w:val="00EE0C0E"/>
    <w:rsid w:val="00EE0E3E"/>
    <w:rsid w:val="00EE1ADC"/>
    <w:rsid w:val="00EE21D2"/>
    <w:rsid w:val="00EE2B4A"/>
    <w:rsid w:val="00EE3517"/>
    <w:rsid w:val="00EE37FB"/>
    <w:rsid w:val="00EE52BB"/>
    <w:rsid w:val="00EE6276"/>
    <w:rsid w:val="00EE7FF3"/>
    <w:rsid w:val="00EF1368"/>
    <w:rsid w:val="00EF27E8"/>
    <w:rsid w:val="00EF2B81"/>
    <w:rsid w:val="00EF4909"/>
    <w:rsid w:val="00F02A54"/>
    <w:rsid w:val="00F046D8"/>
    <w:rsid w:val="00F0575C"/>
    <w:rsid w:val="00F070FC"/>
    <w:rsid w:val="00F076F1"/>
    <w:rsid w:val="00F07AF7"/>
    <w:rsid w:val="00F105EB"/>
    <w:rsid w:val="00F11C95"/>
    <w:rsid w:val="00F13BFC"/>
    <w:rsid w:val="00F1497A"/>
    <w:rsid w:val="00F152BF"/>
    <w:rsid w:val="00F22A35"/>
    <w:rsid w:val="00F23108"/>
    <w:rsid w:val="00F26B1C"/>
    <w:rsid w:val="00F31583"/>
    <w:rsid w:val="00F337A5"/>
    <w:rsid w:val="00F3523D"/>
    <w:rsid w:val="00F40E72"/>
    <w:rsid w:val="00F4182E"/>
    <w:rsid w:val="00F452B2"/>
    <w:rsid w:val="00F47137"/>
    <w:rsid w:val="00F50172"/>
    <w:rsid w:val="00F50759"/>
    <w:rsid w:val="00F525EF"/>
    <w:rsid w:val="00F5640A"/>
    <w:rsid w:val="00F63213"/>
    <w:rsid w:val="00F64811"/>
    <w:rsid w:val="00F75201"/>
    <w:rsid w:val="00F75D6D"/>
    <w:rsid w:val="00F75F44"/>
    <w:rsid w:val="00F76053"/>
    <w:rsid w:val="00F77029"/>
    <w:rsid w:val="00F8029F"/>
    <w:rsid w:val="00F84828"/>
    <w:rsid w:val="00F8486F"/>
    <w:rsid w:val="00F85AAB"/>
    <w:rsid w:val="00F90DA9"/>
    <w:rsid w:val="00F91BFE"/>
    <w:rsid w:val="00F97DCF"/>
    <w:rsid w:val="00FA055B"/>
    <w:rsid w:val="00FA0770"/>
    <w:rsid w:val="00FA25EC"/>
    <w:rsid w:val="00FA55B5"/>
    <w:rsid w:val="00FA56C2"/>
    <w:rsid w:val="00FA7576"/>
    <w:rsid w:val="00FA7BE2"/>
    <w:rsid w:val="00FC06DE"/>
    <w:rsid w:val="00FC29A7"/>
    <w:rsid w:val="00FC2BE7"/>
    <w:rsid w:val="00FC3235"/>
    <w:rsid w:val="00FC3570"/>
    <w:rsid w:val="00FC7230"/>
    <w:rsid w:val="00FD07E5"/>
    <w:rsid w:val="00FD3A1B"/>
    <w:rsid w:val="00FD3B17"/>
    <w:rsid w:val="00FD6113"/>
    <w:rsid w:val="00FD7176"/>
    <w:rsid w:val="00FE22E5"/>
    <w:rsid w:val="00FE4917"/>
    <w:rsid w:val="00FE6F76"/>
    <w:rsid w:val="00FF026E"/>
    <w:rsid w:val="00FF2D01"/>
    <w:rsid w:val="00FF5163"/>
    <w:rsid w:val="00FF5E86"/>
    <w:rsid w:val="00FF7785"/>
    <w:rsid w:val="00FF7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DCB03BB"/>
  <w15:docId w15:val="{55425220-AAFF-448B-B02A-1476E5C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CF"/>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2B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52B5"/>
    <w:rPr>
      <w:rFonts w:ascii="Tahoma" w:hAnsi="Tahoma" w:cs="Tahoma"/>
      <w:sz w:val="16"/>
      <w:szCs w:val="16"/>
    </w:rPr>
  </w:style>
  <w:style w:type="paragraph" w:styleId="Header">
    <w:name w:val="header"/>
    <w:basedOn w:val="Normal"/>
    <w:link w:val="HeaderChar"/>
    <w:uiPriority w:val="99"/>
    <w:unhideWhenUsed/>
    <w:rsid w:val="006352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52B5"/>
  </w:style>
  <w:style w:type="paragraph" w:styleId="Footer">
    <w:name w:val="footer"/>
    <w:basedOn w:val="Normal"/>
    <w:link w:val="FooterChar"/>
    <w:uiPriority w:val="99"/>
    <w:unhideWhenUsed/>
    <w:rsid w:val="006352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52B5"/>
  </w:style>
  <w:style w:type="character" w:styleId="Hyperlink">
    <w:name w:val="Hyperlink"/>
    <w:uiPriority w:val="99"/>
    <w:unhideWhenUsed/>
    <w:rsid w:val="00A27DD3"/>
    <w:rPr>
      <w:color w:val="0000FF"/>
      <w:u w:val="single"/>
    </w:rPr>
  </w:style>
  <w:style w:type="paragraph" w:styleId="FootnoteText">
    <w:name w:val="footnote text"/>
    <w:basedOn w:val="Normal"/>
    <w:link w:val="FootnoteTextChar"/>
    <w:uiPriority w:val="99"/>
    <w:unhideWhenUsed/>
    <w:rsid w:val="00155539"/>
    <w:rPr>
      <w:sz w:val="20"/>
      <w:szCs w:val="20"/>
    </w:rPr>
  </w:style>
  <w:style w:type="character" w:customStyle="1" w:styleId="FootnoteTextChar">
    <w:name w:val="Footnote Text Char"/>
    <w:link w:val="FootnoteText"/>
    <w:uiPriority w:val="99"/>
    <w:rsid w:val="00155539"/>
    <w:rPr>
      <w:lang w:eastAsia="en-US"/>
    </w:rPr>
  </w:style>
  <w:style w:type="character" w:styleId="FootnoteReference">
    <w:name w:val="footnote reference"/>
    <w:uiPriority w:val="99"/>
    <w:semiHidden/>
    <w:unhideWhenUsed/>
    <w:rsid w:val="00155539"/>
    <w:rPr>
      <w:vertAlign w:val="superscript"/>
    </w:rPr>
  </w:style>
  <w:style w:type="paragraph" w:styleId="Revision">
    <w:name w:val="Revision"/>
    <w:hidden/>
    <w:uiPriority w:val="99"/>
    <w:semiHidden/>
    <w:rsid w:val="00F91BFE"/>
    <w:rPr>
      <w:sz w:val="22"/>
      <w:szCs w:val="22"/>
      <w:lang w:val="el-GR"/>
    </w:rPr>
  </w:style>
  <w:style w:type="paragraph" w:styleId="ListParagraph">
    <w:name w:val="List Paragraph"/>
    <w:basedOn w:val="Normal"/>
    <w:uiPriority w:val="34"/>
    <w:qFormat/>
    <w:rsid w:val="00425373"/>
    <w:pPr>
      <w:pBdr>
        <w:top w:val="nil"/>
        <w:left w:val="nil"/>
        <w:bottom w:val="nil"/>
        <w:right w:val="nil"/>
        <w:between w:val="nil"/>
        <w:bar w:val="nil"/>
      </w:pBdr>
      <w:tabs>
        <w:tab w:val="left" w:pos="1134"/>
      </w:tabs>
      <w:spacing w:after="0" w:line="280" w:lineRule="atLeast"/>
      <w:ind w:left="720"/>
      <w:jc w:val="both"/>
    </w:pPr>
    <w:rPr>
      <w:rFonts w:ascii="Arial" w:eastAsia="Times New Roman" w:hAnsi="Arial" w:cs="Arial"/>
      <w:sz w:val="20"/>
      <w:szCs w:val="20"/>
      <w:bdr w:val="nil"/>
    </w:rPr>
  </w:style>
  <w:style w:type="character" w:styleId="CommentReference">
    <w:name w:val="annotation reference"/>
    <w:uiPriority w:val="99"/>
    <w:semiHidden/>
    <w:unhideWhenUsed/>
    <w:rsid w:val="00554DEC"/>
    <w:rPr>
      <w:sz w:val="16"/>
      <w:szCs w:val="16"/>
    </w:rPr>
  </w:style>
  <w:style w:type="paragraph" w:styleId="CommentText">
    <w:name w:val="annotation text"/>
    <w:basedOn w:val="Normal"/>
    <w:link w:val="CommentTextChar"/>
    <w:uiPriority w:val="99"/>
    <w:unhideWhenUsed/>
    <w:rsid w:val="00554DEC"/>
    <w:rPr>
      <w:sz w:val="20"/>
      <w:szCs w:val="20"/>
    </w:rPr>
  </w:style>
  <w:style w:type="character" w:customStyle="1" w:styleId="CommentTextChar">
    <w:name w:val="Comment Text Char"/>
    <w:link w:val="CommentText"/>
    <w:uiPriority w:val="99"/>
    <w:rsid w:val="00554DEC"/>
    <w:rPr>
      <w:lang w:eastAsia="en-US"/>
    </w:rPr>
  </w:style>
  <w:style w:type="paragraph" w:styleId="CommentSubject">
    <w:name w:val="annotation subject"/>
    <w:basedOn w:val="CommentText"/>
    <w:next w:val="CommentText"/>
    <w:link w:val="CommentSubjectChar"/>
    <w:uiPriority w:val="99"/>
    <w:semiHidden/>
    <w:unhideWhenUsed/>
    <w:rsid w:val="00554DEC"/>
    <w:rPr>
      <w:b/>
      <w:bCs/>
    </w:rPr>
  </w:style>
  <w:style w:type="character" w:customStyle="1" w:styleId="CommentSubjectChar">
    <w:name w:val="Comment Subject Char"/>
    <w:link w:val="CommentSubject"/>
    <w:uiPriority w:val="99"/>
    <w:semiHidden/>
    <w:rsid w:val="00554D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4142">
      <w:bodyDiv w:val="1"/>
      <w:marLeft w:val="0"/>
      <w:marRight w:val="0"/>
      <w:marTop w:val="0"/>
      <w:marBottom w:val="0"/>
      <w:divBdr>
        <w:top w:val="none" w:sz="0" w:space="0" w:color="auto"/>
        <w:left w:val="none" w:sz="0" w:space="0" w:color="auto"/>
        <w:bottom w:val="none" w:sz="0" w:space="0" w:color="auto"/>
        <w:right w:val="none" w:sz="0" w:space="0" w:color="auto"/>
      </w:divBdr>
    </w:div>
    <w:div w:id="775752128">
      <w:bodyDiv w:val="1"/>
      <w:marLeft w:val="0"/>
      <w:marRight w:val="0"/>
      <w:marTop w:val="0"/>
      <w:marBottom w:val="0"/>
      <w:divBdr>
        <w:top w:val="none" w:sz="0" w:space="0" w:color="auto"/>
        <w:left w:val="none" w:sz="0" w:space="0" w:color="auto"/>
        <w:bottom w:val="none" w:sz="0" w:space="0" w:color="auto"/>
        <w:right w:val="none" w:sz="0" w:space="0" w:color="auto"/>
      </w:divBdr>
    </w:div>
    <w:div w:id="860241399">
      <w:bodyDiv w:val="1"/>
      <w:marLeft w:val="0"/>
      <w:marRight w:val="0"/>
      <w:marTop w:val="0"/>
      <w:marBottom w:val="0"/>
      <w:divBdr>
        <w:top w:val="none" w:sz="0" w:space="0" w:color="auto"/>
        <w:left w:val="none" w:sz="0" w:space="0" w:color="auto"/>
        <w:bottom w:val="none" w:sz="0" w:space="0" w:color="auto"/>
        <w:right w:val="none" w:sz="0" w:space="0" w:color="auto"/>
      </w:divBdr>
    </w:div>
    <w:div w:id="957759349">
      <w:bodyDiv w:val="1"/>
      <w:marLeft w:val="0"/>
      <w:marRight w:val="0"/>
      <w:marTop w:val="0"/>
      <w:marBottom w:val="0"/>
      <w:divBdr>
        <w:top w:val="none" w:sz="0" w:space="0" w:color="auto"/>
        <w:left w:val="none" w:sz="0" w:space="0" w:color="auto"/>
        <w:bottom w:val="none" w:sz="0" w:space="0" w:color="auto"/>
        <w:right w:val="none" w:sz="0" w:space="0" w:color="auto"/>
      </w:divBdr>
    </w:div>
    <w:div w:id="1280838812">
      <w:bodyDiv w:val="1"/>
      <w:marLeft w:val="0"/>
      <w:marRight w:val="0"/>
      <w:marTop w:val="0"/>
      <w:marBottom w:val="0"/>
      <w:divBdr>
        <w:top w:val="none" w:sz="0" w:space="0" w:color="auto"/>
        <w:left w:val="none" w:sz="0" w:space="0" w:color="auto"/>
        <w:bottom w:val="none" w:sz="0" w:space="0" w:color="auto"/>
        <w:right w:val="none" w:sz="0" w:space="0" w:color="auto"/>
      </w:divBdr>
    </w:div>
    <w:div w:id="1484735373">
      <w:bodyDiv w:val="1"/>
      <w:marLeft w:val="0"/>
      <w:marRight w:val="0"/>
      <w:marTop w:val="0"/>
      <w:marBottom w:val="0"/>
      <w:divBdr>
        <w:top w:val="none" w:sz="0" w:space="0" w:color="auto"/>
        <w:left w:val="none" w:sz="0" w:space="0" w:color="auto"/>
        <w:bottom w:val="none" w:sz="0" w:space="0" w:color="auto"/>
        <w:right w:val="none" w:sz="0" w:space="0" w:color="auto"/>
      </w:divBdr>
    </w:div>
    <w:div w:id="1731613379">
      <w:bodyDiv w:val="1"/>
      <w:marLeft w:val="0"/>
      <w:marRight w:val="0"/>
      <w:marTop w:val="0"/>
      <w:marBottom w:val="0"/>
      <w:divBdr>
        <w:top w:val="none" w:sz="0" w:space="0" w:color="auto"/>
        <w:left w:val="none" w:sz="0" w:space="0" w:color="auto"/>
        <w:bottom w:val="none" w:sz="0" w:space="0" w:color="auto"/>
        <w:right w:val="none" w:sz="0" w:space="0" w:color="auto"/>
      </w:divBdr>
    </w:div>
    <w:div w:id="19155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gektern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ndreadi\AppData\Local\Microsoft\Windows\INetCache\Content.Outlook\2022_1Q\agkonis@gektern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9FB73-B393-4DBE-8F77-FEA3AFF5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1664</Words>
  <Characters>8990</Characters>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10633</CharactersWithSpaces>
  <SharedDoc>false</SharedDoc>
  <HLinks>
    <vt:vector size="6" baseType="variant">
      <vt:variant>
        <vt:i4>5898341</vt:i4>
      </vt:variant>
      <vt:variant>
        <vt:i4>0</vt:i4>
      </vt:variant>
      <vt:variant>
        <vt:i4>0</vt:i4>
      </vt:variant>
      <vt:variant>
        <vt:i4>5</vt:i4>
      </vt:variant>
      <vt:variant>
        <vt:lpwstr>mailto:dkalantidi@gekterna.com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2022-09-30T12:12:00Z</cp:lastPrinted>
  <dcterms:created xsi:type="dcterms:W3CDTF">2023-05-29T10:57:00Z</dcterms:created>
  <dcterms:modified xsi:type="dcterms:W3CDTF">2023-05-31T13:52:00Z</dcterms:modified>
</cp:coreProperties>
</file>